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3326" w:rsidRPr="006E3326" w:rsidRDefault="006E3326" w:rsidP="006E3326">
      <w:pPr>
        <w:spacing w:after="0" w:line="240" w:lineRule="auto"/>
        <w:ind w:firstLine="567"/>
        <w:jc w:val="center"/>
        <w:rPr>
          <w:rFonts w:ascii="Times New Roman" w:hAnsi="Times New Roman" w:cs="Times New Roman"/>
          <w:sz w:val="28"/>
          <w:szCs w:val="28"/>
          <w:lang w:val="kk-KZ"/>
        </w:rPr>
      </w:pPr>
      <w:r w:rsidRPr="006E3326">
        <w:rPr>
          <w:rFonts w:ascii="Times New Roman" w:hAnsi="Times New Roman" w:cs="Times New Roman"/>
          <w:sz w:val="28"/>
          <w:szCs w:val="28"/>
          <w:lang w:val="kk-KZ"/>
        </w:rPr>
        <w:t xml:space="preserve">ТАҚЫРЫП </w:t>
      </w:r>
      <w:r w:rsidR="009C4444">
        <w:rPr>
          <w:rFonts w:ascii="Times New Roman" w:hAnsi="Times New Roman" w:cs="Times New Roman"/>
          <w:sz w:val="28"/>
          <w:szCs w:val="28"/>
          <w:lang w:val="kk-KZ"/>
        </w:rPr>
        <w:t>4</w:t>
      </w:r>
      <w:bookmarkStart w:id="0" w:name="_GoBack"/>
      <w:bookmarkEnd w:id="0"/>
      <w:r w:rsidRPr="006E3326">
        <w:rPr>
          <w:rFonts w:ascii="Times New Roman" w:hAnsi="Times New Roman" w:cs="Times New Roman"/>
          <w:sz w:val="28"/>
          <w:szCs w:val="28"/>
          <w:lang w:val="kk-KZ"/>
        </w:rPr>
        <w:t xml:space="preserve">. </w:t>
      </w:r>
      <w:r w:rsidRPr="006E3326">
        <w:rPr>
          <w:rFonts w:ascii="Times New Roman" w:hAnsi="Times New Roman" w:cs="Times New Roman"/>
          <w:color w:val="000000"/>
          <w:sz w:val="28"/>
          <w:szCs w:val="28"/>
          <w:lang w:val="kk-KZ"/>
        </w:rPr>
        <w:t>БАҒА БЕЛГІЛЕУДІҢ СТРАТЕГИЯЛАРЫ</w:t>
      </w:r>
    </w:p>
    <w:p w:rsidR="00936528" w:rsidRPr="006E3326" w:rsidRDefault="00936528" w:rsidP="006E3326">
      <w:pPr>
        <w:spacing w:after="0" w:line="240" w:lineRule="auto"/>
        <w:ind w:firstLine="567"/>
        <w:jc w:val="both"/>
        <w:rPr>
          <w:rFonts w:ascii="Times New Roman" w:hAnsi="Times New Roman" w:cs="Times New Roman"/>
          <w:sz w:val="28"/>
          <w:szCs w:val="28"/>
          <w:lang w:val="kk-KZ"/>
        </w:rPr>
      </w:pPr>
    </w:p>
    <w:p w:rsidR="006E3326" w:rsidRPr="006E3326" w:rsidRDefault="006E3326" w:rsidP="006E3326">
      <w:pPr>
        <w:spacing w:after="0" w:line="240" w:lineRule="auto"/>
        <w:ind w:firstLine="567"/>
        <w:jc w:val="both"/>
        <w:rPr>
          <w:rFonts w:ascii="Times New Roman" w:hAnsi="Times New Roman" w:cs="Times New Roman"/>
          <w:b/>
          <w:spacing w:val="-3"/>
          <w:sz w:val="28"/>
          <w:szCs w:val="28"/>
          <w:lang w:val="kk-KZ"/>
        </w:rPr>
      </w:pPr>
      <w:r w:rsidRPr="006E3326">
        <w:rPr>
          <w:rFonts w:ascii="Times New Roman" w:hAnsi="Times New Roman" w:cs="Times New Roman"/>
          <w:b/>
          <w:spacing w:val="-3"/>
          <w:sz w:val="28"/>
          <w:szCs w:val="28"/>
          <w:lang w:val="kk-KZ"/>
        </w:rPr>
        <w:t>Баға стратегияларының мәні, түрлері.</w:t>
      </w:r>
    </w:p>
    <w:p w:rsidR="006E3326" w:rsidRPr="006E3326" w:rsidRDefault="006E3326" w:rsidP="006E3326">
      <w:pPr>
        <w:spacing w:after="0" w:line="240" w:lineRule="auto"/>
        <w:ind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Кәсіпорынның баға саясаты баға құрылу стратегиясын қалыптастырудың негізі болып саналады. Баға стратегиялары кәсіпорын дамуының  жалпы стратегиясының  бір бөлігі болып табылады.</w:t>
      </w:r>
    </w:p>
    <w:p w:rsidR="006E3326" w:rsidRPr="006E3326" w:rsidRDefault="006E3326" w:rsidP="006E3326">
      <w:pPr>
        <w:spacing w:after="0" w:line="240" w:lineRule="auto"/>
        <w:ind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Баға құрылуы стратегиясы</w:t>
      </w:r>
      <w:r w:rsidRPr="006E3326">
        <w:rPr>
          <w:rFonts w:ascii="Times New Roman" w:hAnsi="Times New Roman" w:cs="Times New Roman"/>
          <w:b/>
          <w:spacing w:val="-3"/>
          <w:sz w:val="28"/>
          <w:szCs w:val="28"/>
          <w:lang w:val="kk-KZ"/>
        </w:rPr>
        <w:t xml:space="preserve"> </w:t>
      </w:r>
      <w:r w:rsidRPr="006E3326">
        <w:rPr>
          <w:rFonts w:ascii="Times New Roman" w:hAnsi="Times New Roman" w:cs="Times New Roman"/>
          <w:spacing w:val="-3"/>
          <w:sz w:val="28"/>
          <w:szCs w:val="28"/>
          <w:lang w:val="kk-KZ"/>
        </w:rPr>
        <w:t>– бұл кәсіпорын өндіретін  өнімдердің нақтылы түрлеріне нарықтық баға белгілеу жағдайында негізге алынатын факторлар мен әдістер жиынтығы.</w:t>
      </w:r>
    </w:p>
    <w:p w:rsidR="006E3326" w:rsidRPr="006E3326" w:rsidRDefault="006E3326" w:rsidP="006E3326">
      <w:pPr>
        <w:spacing w:after="0" w:line="240" w:lineRule="auto"/>
        <w:ind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Баға стратегияларының негізгі түрлері төмендегідей:</w:t>
      </w:r>
    </w:p>
    <w:p w:rsidR="006E3326" w:rsidRPr="006E3326" w:rsidRDefault="006E3326" w:rsidP="006E3326">
      <w:pPr>
        <w:spacing w:after="0" w:line="240" w:lineRule="auto"/>
        <w:ind w:firstLine="567"/>
        <w:jc w:val="both"/>
        <w:rPr>
          <w:rFonts w:ascii="Times New Roman" w:hAnsi="Times New Roman" w:cs="Times New Roman"/>
          <w:b/>
          <w:spacing w:val="-3"/>
          <w:sz w:val="28"/>
          <w:szCs w:val="28"/>
          <w:lang w:val="kk-KZ"/>
        </w:rPr>
      </w:pPr>
      <w:r>
        <w:rPr>
          <w:rFonts w:ascii="Times New Roman" w:hAnsi="Times New Roman" w:cs="Times New Roman"/>
          <w:b/>
          <w:spacing w:val="-3"/>
          <w:sz w:val="28"/>
          <w:szCs w:val="28"/>
          <w:lang w:val="kk-KZ"/>
        </w:rPr>
        <w:t xml:space="preserve">1 </w:t>
      </w:r>
      <w:r w:rsidRPr="006E3326">
        <w:rPr>
          <w:rFonts w:ascii="Times New Roman" w:hAnsi="Times New Roman" w:cs="Times New Roman"/>
          <w:b/>
          <w:spacing w:val="-3"/>
          <w:sz w:val="28"/>
          <w:szCs w:val="28"/>
          <w:lang w:val="kk-KZ"/>
        </w:rPr>
        <w:t>Жоғары деңгейдегі баға стратегиясы.</w:t>
      </w:r>
    </w:p>
    <w:p w:rsidR="006E3326" w:rsidRPr="006E3326" w:rsidRDefault="006E3326" w:rsidP="006E3326">
      <w:pPr>
        <w:spacing w:after="0" w:line="240" w:lineRule="auto"/>
        <w:ind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Осы стратегия мақсаты - неғұрлым жоғары деңгейдегі құндылығына байланысты, сатып алынатын жаңа бұйым үшін, оның әдеттегі нарықтық бағасынан қымбат төлем төлеуге даяр тұтынушыларға, «қаймақ қалқу» принципі бойынша жоғары бағаларды тағайындау арқылы, лезде шамадан тыс мол пайда алу. Бұл стратегия қымбат тауарды талап ететін сұраныс болған жағдайда қолданылады.</w:t>
      </w:r>
    </w:p>
    <w:p w:rsidR="006E3326" w:rsidRPr="006E3326" w:rsidRDefault="006E3326" w:rsidP="006E3326">
      <w:pPr>
        <w:spacing w:after="0" w:line="240" w:lineRule="auto"/>
        <w:ind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Ол біріншіден, патентпен қорғалған, нарыққа алғашқы рет жаңадан шыққан, яғни «өмірлік циклдың» бастапқы сатысындағы тауарларға қолданылады.</w:t>
      </w:r>
    </w:p>
    <w:p w:rsidR="006E3326" w:rsidRPr="006E3326" w:rsidRDefault="006E3326" w:rsidP="006E3326">
      <w:pPr>
        <w:spacing w:after="0" w:line="240" w:lineRule="auto"/>
        <w:ind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Екіншіден, сұранысы баға динамикасына тәуелсіз, тек тауардың сапасы, сиректігі қызықтыратын бай тұтынушыларға бейімделген тауарларға пайдаланылады.</w:t>
      </w:r>
    </w:p>
    <w:p w:rsidR="006E3326" w:rsidRPr="006E3326" w:rsidRDefault="006E3326" w:rsidP="006E3326">
      <w:pPr>
        <w:spacing w:after="0" w:line="240" w:lineRule="auto"/>
        <w:ind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Келесі жағдайларда жоғары баға стратегиясы қолайлы болады:</w:t>
      </w:r>
    </w:p>
    <w:p w:rsidR="006E3326" w:rsidRPr="006E3326" w:rsidRDefault="006E3326" w:rsidP="006E3326">
      <w:pPr>
        <w:numPr>
          <w:ilvl w:val="0"/>
          <w:numId w:val="16"/>
        </w:numPr>
        <w:tabs>
          <w:tab w:val="clear" w:pos="720"/>
          <w:tab w:val="num" w:pos="851"/>
        </w:tabs>
        <w:spacing w:after="0" w:line="240" w:lineRule="auto"/>
        <w:ind w:left="0"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жақын арада нарықта едәуір бәсекелестік деңгейі  болмаған жағдайда;</w:t>
      </w:r>
    </w:p>
    <w:p w:rsidR="006E3326" w:rsidRPr="006E3326" w:rsidRDefault="006E3326" w:rsidP="006E3326">
      <w:pPr>
        <w:numPr>
          <w:ilvl w:val="0"/>
          <w:numId w:val="16"/>
        </w:numPr>
        <w:tabs>
          <w:tab w:val="clear" w:pos="720"/>
          <w:tab w:val="num" w:pos="851"/>
        </w:tabs>
        <w:spacing w:after="0" w:line="240" w:lineRule="auto"/>
        <w:ind w:left="0"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жаңа нарықты игеру шығындары бәсекелестер үшін өте қымбат болған жағдайда;</w:t>
      </w:r>
    </w:p>
    <w:p w:rsidR="006E3326" w:rsidRPr="006E3326" w:rsidRDefault="006E3326" w:rsidP="006E3326">
      <w:pPr>
        <w:numPr>
          <w:ilvl w:val="0"/>
          <w:numId w:val="16"/>
        </w:numPr>
        <w:tabs>
          <w:tab w:val="clear" w:pos="720"/>
          <w:tab w:val="num" w:pos="851"/>
        </w:tabs>
        <w:spacing w:after="0" w:line="240" w:lineRule="auto"/>
        <w:ind w:left="0"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жаңа бұйымды өндіру үшін қажет шикізат, материалдар және т.б. шектеулі мөлшерде болған жағдайда;</w:t>
      </w:r>
    </w:p>
    <w:p w:rsidR="006E3326" w:rsidRPr="006E3326" w:rsidRDefault="006E3326" w:rsidP="006E3326">
      <w:pPr>
        <w:spacing w:after="0" w:line="240" w:lineRule="auto"/>
        <w:ind w:firstLine="567"/>
        <w:jc w:val="both"/>
        <w:rPr>
          <w:rFonts w:ascii="Times New Roman" w:hAnsi="Times New Roman" w:cs="Times New Roman"/>
          <w:spacing w:val="-3"/>
          <w:sz w:val="28"/>
          <w:szCs w:val="28"/>
          <w:lang w:val="kk-KZ"/>
        </w:rPr>
      </w:pPr>
      <w:r w:rsidRPr="006E3326">
        <w:rPr>
          <w:rFonts w:ascii="Times New Roman" w:hAnsi="Times New Roman" w:cs="Times New Roman"/>
          <w:b/>
          <w:spacing w:val="-3"/>
          <w:sz w:val="28"/>
          <w:szCs w:val="28"/>
          <w:lang w:val="kk-KZ"/>
        </w:rPr>
        <w:t>2</w:t>
      </w:r>
      <w:r>
        <w:rPr>
          <w:rFonts w:ascii="Times New Roman" w:hAnsi="Times New Roman" w:cs="Times New Roman"/>
          <w:b/>
          <w:spacing w:val="-3"/>
          <w:sz w:val="28"/>
          <w:szCs w:val="28"/>
          <w:lang w:val="kk-KZ"/>
        </w:rPr>
        <w:t xml:space="preserve"> </w:t>
      </w:r>
      <w:r w:rsidRPr="006E3326">
        <w:rPr>
          <w:rFonts w:ascii="Times New Roman" w:hAnsi="Times New Roman" w:cs="Times New Roman"/>
          <w:b/>
          <w:spacing w:val="-3"/>
          <w:sz w:val="28"/>
          <w:szCs w:val="28"/>
          <w:lang w:val="kk-KZ"/>
        </w:rPr>
        <w:t>Орташа деңгейдегі баға стратегиясы (бейтарап баға құрылуы)</w:t>
      </w:r>
      <w:r w:rsidRPr="006E3326">
        <w:rPr>
          <w:rFonts w:ascii="Times New Roman" w:hAnsi="Times New Roman" w:cs="Times New Roman"/>
          <w:spacing w:val="-3"/>
          <w:sz w:val="28"/>
          <w:szCs w:val="28"/>
          <w:lang w:val="kk-KZ"/>
        </w:rPr>
        <w:t xml:space="preserve"> тауардың өмірлік циклының жойылу сатысынан басқа барлық сатыларында қолданылады. Пайда алуды ұзақ мерзімді саясат ретінде қарастыратын кәсіпорындар үшін тән стратегия. Бұл стратегия бөлінген қаржыға әділ пайда  алу мүмкіндігін тудырады.</w:t>
      </w:r>
    </w:p>
    <w:p w:rsidR="006E3326" w:rsidRPr="006E3326" w:rsidRDefault="006E3326" w:rsidP="006E3326">
      <w:pPr>
        <w:spacing w:after="0" w:line="240" w:lineRule="auto"/>
        <w:ind w:firstLine="567"/>
        <w:jc w:val="both"/>
        <w:rPr>
          <w:rFonts w:ascii="Times New Roman" w:hAnsi="Times New Roman" w:cs="Times New Roman"/>
          <w:spacing w:val="-3"/>
          <w:sz w:val="28"/>
          <w:szCs w:val="28"/>
          <w:lang w:val="kk-KZ"/>
        </w:rPr>
      </w:pPr>
      <w:r w:rsidRPr="006E3326">
        <w:rPr>
          <w:rFonts w:ascii="Times New Roman" w:hAnsi="Times New Roman" w:cs="Times New Roman"/>
          <w:b/>
          <w:spacing w:val="-3"/>
          <w:sz w:val="28"/>
          <w:szCs w:val="28"/>
          <w:lang w:val="kk-KZ"/>
        </w:rPr>
        <w:t>3</w:t>
      </w:r>
      <w:r>
        <w:rPr>
          <w:rFonts w:ascii="Times New Roman" w:hAnsi="Times New Roman" w:cs="Times New Roman"/>
          <w:b/>
          <w:spacing w:val="-3"/>
          <w:sz w:val="28"/>
          <w:szCs w:val="28"/>
          <w:lang w:val="kk-KZ"/>
        </w:rPr>
        <w:t xml:space="preserve"> </w:t>
      </w:r>
      <w:r w:rsidRPr="006E3326">
        <w:rPr>
          <w:rFonts w:ascii="Times New Roman" w:hAnsi="Times New Roman" w:cs="Times New Roman"/>
          <w:b/>
          <w:spacing w:val="-3"/>
          <w:sz w:val="28"/>
          <w:szCs w:val="28"/>
          <w:lang w:val="kk-KZ"/>
        </w:rPr>
        <w:t xml:space="preserve">Төмен деңгейдегі баға стратегиясы. </w:t>
      </w:r>
      <w:r w:rsidRPr="006E3326">
        <w:rPr>
          <w:rFonts w:ascii="Times New Roman" w:hAnsi="Times New Roman" w:cs="Times New Roman"/>
          <w:spacing w:val="-3"/>
          <w:sz w:val="28"/>
          <w:szCs w:val="28"/>
          <w:lang w:val="kk-KZ"/>
        </w:rPr>
        <w:t>Бұл</w:t>
      </w:r>
      <w:r w:rsidRPr="006E3326">
        <w:rPr>
          <w:rFonts w:ascii="Times New Roman" w:hAnsi="Times New Roman" w:cs="Times New Roman"/>
          <w:b/>
          <w:spacing w:val="-3"/>
          <w:sz w:val="28"/>
          <w:szCs w:val="28"/>
          <w:lang w:val="kk-KZ"/>
        </w:rPr>
        <w:t xml:space="preserve"> </w:t>
      </w:r>
      <w:r w:rsidRPr="006E3326">
        <w:rPr>
          <w:rFonts w:ascii="Times New Roman" w:hAnsi="Times New Roman" w:cs="Times New Roman"/>
          <w:spacing w:val="-3"/>
          <w:sz w:val="28"/>
          <w:szCs w:val="28"/>
          <w:lang w:val="kk-KZ"/>
        </w:rPr>
        <w:t>тауардың өмірлік циклының кез келген сатысында  жарамды, әсіресе бағаға қатысты сұраныс  икемділігі  жоғары болған жағдайда тиімді. Ол нарыққа ену, өндірістік қуаттарды толық пайдалану, банкроттыққа ұшырамау, ұзақ уақыттық пайда алу мақсатында қолданылады..</w:t>
      </w:r>
    </w:p>
    <w:p w:rsidR="006E3326" w:rsidRPr="006E3326" w:rsidRDefault="006E3326" w:rsidP="006E3326">
      <w:pPr>
        <w:spacing w:after="0" w:line="240" w:lineRule="auto"/>
        <w:ind w:firstLine="567"/>
        <w:jc w:val="both"/>
        <w:rPr>
          <w:rFonts w:ascii="Times New Roman" w:hAnsi="Times New Roman" w:cs="Times New Roman"/>
          <w:spacing w:val="-3"/>
          <w:sz w:val="28"/>
          <w:szCs w:val="28"/>
          <w:lang w:val="kk-KZ"/>
        </w:rPr>
      </w:pPr>
      <w:r w:rsidRPr="006E3326">
        <w:rPr>
          <w:rFonts w:ascii="Times New Roman" w:hAnsi="Times New Roman" w:cs="Times New Roman"/>
          <w:b/>
          <w:spacing w:val="-3"/>
          <w:sz w:val="28"/>
          <w:szCs w:val="28"/>
          <w:lang w:val="kk-KZ"/>
        </w:rPr>
        <w:t>4</w:t>
      </w:r>
      <w:r>
        <w:rPr>
          <w:rFonts w:ascii="Times New Roman" w:hAnsi="Times New Roman" w:cs="Times New Roman"/>
          <w:b/>
          <w:spacing w:val="-3"/>
          <w:sz w:val="28"/>
          <w:szCs w:val="28"/>
          <w:lang w:val="kk-KZ"/>
        </w:rPr>
        <w:t xml:space="preserve"> </w:t>
      </w:r>
      <w:r w:rsidRPr="006E3326">
        <w:rPr>
          <w:rFonts w:ascii="Times New Roman" w:hAnsi="Times New Roman" w:cs="Times New Roman"/>
          <w:b/>
          <w:spacing w:val="-3"/>
          <w:sz w:val="28"/>
          <w:szCs w:val="28"/>
          <w:lang w:val="kk-KZ"/>
        </w:rPr>
        <w:t xml:space="preserve">Мақсатты баға стратегиясы. </w:t>
      </w:r>
      <w:r w:rsidRPr="006E3326">
        <w:rPr>
          <w:rFonts w:ascii="Times New Roman" w:hAnsi="Times New Roman" w:cs="Times New Roman"/>
          <w:spacing w:val="-3"/>
          <w:sz w:val="28"/>
          <w:szCs w:val="28"/>
          <w:lang w:val="kk-KZ"/>
        </w:rPr>
        <w:t>Аталған стратегия, баға және өткізу көлемі қандай шамаға өзгерсе де пайда жиыны тұрақты шама екендігін көрсетеді. Пайда мақсатты шама болып саналады. Бұл стратегияны негізінен ірі корпорациялар қолданылады.</w:t>
      </w:r>
    </w:p>
    <w:p w:rsidR="006E3326" w:rsidRPr="006E3326" w:rsidRDefault="006E3326" w:rsidP="006E3326">
      <w:pPr>
        <w:spacing w:after="0" w:line="240" w:lineRule="auto"/>
        <w:ind w:firstLine="567"/>
        <w:jc w:val="both"/>
        <w:rPr>
          <w:rFonts w:ascii="Times New Roman" w:hAnsi="Times New Roman" w:cs="Times New Roman"/>
          <w:spacing w:val="-3"/>
          <w:sz w:val="28"/>
          <w:szCs w:val="28"/>
          <w:lang w:val="kk-KZ"/>
        </w:rPr>
      </w:pPr>
      <w:r w:rsidRPr="006E3326">
        <w:rPr>
          <w:rFonts w:ascii="Times New Roman" w:hAnsi="Times New Roman" w:cs="Times New Roman"/>
          <w:b/>
          <w:spacing w:val="-3"/>
          <w:sz w:val="28"/>
          <w:szCs w:val="28"/>
          <w:lang w:val="kk-KZ"/>
        </w:rPr>
        <w:lastRenderedPageBreak/>
        <w:t>5</w:t>
      </w:r>
      <w:r>
        <w:rPr>
          <w:rFonts w:ascii="Times New Roman" w:hAnsi="Times New Roman" w:cs="Times New Roman"/>
          <w:b/>
          <w:spacing w:val="-3"/>
          <w:sz w:val="28"/>
          <w:szCs w:val="28"/>
          <w:lang w:val="kk-KZ"/>
        </w:rPr>
        <w:t xml:space="preserve"> </w:t>
      </w:r>
      <w:r w:rsidRPr="006E3326">
        <w:rPr>
          <w:rFonts w:ascii="Times New Roman" w:hAnsi="Times New Roman" w:cs="Times New Roman"/>
          <w:b/>
          <w:spacing w:val="-3"/>
          <w:sz w:val="28"/>
          <w:szCs w:val="28"/>
          <w:lang w:val="kk-KZ"/>
        </w:rPr>
        <w:t xml:space="preserve">Жеңілдікті баға стратегиясы. </w:t>
      </w:r>
      <w:r w:rsidRPr="006E3326">
        <w:rPr>
          <w:rFonts w:ascii="Times New Roman" w:hAnsi="Times New Roman" w:cs="Times New Roman"/>
          <w:spacing w:val="-3"/>
          <w:sz w:val="28"/>
          <w:szCs w:val="28"/>
          <w:lang w:val="kk-KZ"/>
        </w:rPr>
        <w:t>Оның мақсаты сатып өткізу көлемін ұлғайту. Бұл стратегия тауардың өмірлік циклының ең соңында пайдаланылады. Мұнда  әртүрлі шегерімдер қолданылады.</w:t>
      </w:r>
    </w:p>
    <w:p w:rsidR="006E3326" w:rsidRPr="006E3326" w:rsidRDefault="006E3326" w:rsidP="006E3326">
      <w:pPr>
        <w:spacing w:after="0" w:line="240" w:lineRule="auto"/>
        <w:ind w:firstLine="567"/>
        <w:jc w:val="both"/>
        <w:rPr>
          <w:rFonts w:ascii="Times New Roman" w:hAnsi="Times New Roman" w:cs="Times New Roman"/>
          <w:spacing w:val="-3"/>
          <w:sz w:val="28"/>
          <w:szCs w:val="28"/>
          <w:lang w:val="kk-KZ"/>
        </w:rPr>
      </w:pPr>
      <w:r w:rsidRPr="006E3326">
        <w:rPr>
          <w:rFonts w:ascii="Times New Roman" w:hAnsi="Times New Roman" w:cs="Times New Roman"/>
          <w:b/>
          <w:spacing w:val="-3"/>
          <w:sz w:val="28"/>
          <w:szCs w:val="28"/>
          <w:lang w:val="kk-KZ"/>
        </w:rPr>
        <w:t>6</w:t>
      </w:r>
      <w:r>
        <w:rPr>
          <w:rFonts w:ascii="Times New Roman" w:hAnsi="Times New Roman" w:cs="Times New Roman"/>
          <w:b/>
          <w:spacing w:val="-3"/>
          <w:sz w:val="28"/>
          <w:szCs w:val="28"/>
          <w:lang w:val="kk-KZ"/>
        </w:rPr>
        <w:t xml:space="preserve"> </w:t>
      </w:r>
      <w:r w:rsidRPr="006E3326">
        <w:rPr>
          <w:rFonts w:ascii="Times New Roman" w:hAnsi="Times New Roman" w:cs="Times New Roman"/>
          <w:b/>
          <w:spacing w:val="-3"/>
          <w:sz w:val="28"/>
          <w:szCs w:val="28"/>
          <w:lang w:val="kk-KZ"/>
        </w:rPr>
        <w:t xml:space="preserve">«Көшбасшыға бағытталу» стратегиясы. </w:t>
      </w:r>
      <w:r w:rsidRPr="006E3326">
        <w:rPr>
          <w:rFonts w:ascii="Times New Roman" w:hAnsi="Times New Roman" w:cs="Times New Roman"/>
          <w:spacing w:val="-3"/>
          <w:sz w:val="28"/>
          <w:szCs w:val="28"/>
          <w:lang w:val="kk-KZ"/>
        </w:rPr>
        <w:t>Мұнда саладағы немесе нарықтағы көшбасшының баға саясаты ескеріледі. Жаңа бұйым бағасы көшбасшы компанияның бағасынан, бұйымның сапалық және техникалық басымдылығына сай ауытқуы мүмкін.</w:t>
      </w:r>
    </w:p>
    <w:p w:rsidR="006E3326" w:rsidRDefault="006E3326" w:rsidP="006E3326">
      <w:pPr>
        <w:spacing w:after="0" w:line="240" w:lineRule="auto"/>
        <w:ind w:firstLine="567"/>
        <w:jc w:val="both"/>
        <w:rPr>
          <w:rFonts w:ascii="Times New Roman" w:hAnsi="Times New Roman" w:cs="Times New Roman"/>
          <w:b/>
          <w:spacing w:val="-3"/>
          <w:sz w:val="28"/>
          <w:szCs w:val="28"/>
          <w:lang w:val="kk-KZ"/>
        </w:rPr>
      </w:pPr>
    </w:p>
    <w:p w:rsidR="006E3326" w:rsidRPr="006E3326" w:rsidRDefault="006E3326" w:rsidP="006E3326">
      <w:pPr>
        <w:spacing w:after="0" w:line="240" w:lineRule="auto"/>
        <w:ind w:firstLine="567"/>
        <w:jc w:val="both"/>
        <w:rPr>
          <w:rFonts w:ascii="Times New Roman" w:hAnsi="Times New Roman" w:cs="Times New Roman"/>
          <w:b/>
          <w:spacing w:val="-3"/>
          <w:sz w:val="28"/>
          <w:szCs w:val="28"/>
          <w:lang w:val="kk-KZ"/>
        </w:rPr>
      </w:pPr>
      <w:r w:rsidRPr="006E3326">
        <w:rPr>
          <w:rFonts w:ascii="Times New Roman" w:hAnsi="Times New Roman" w:cs="Times New Roman"/>
          <w:b/>
          <w:spacing w:val="-3"/>
          <w:sz w:val="28"/>
          <w:szCs w:val="28"/>
          <w:lang w:val="kk-KZ"/>
        </w:rPr>
        <w:t>Баға стратегияларын қалыптастыру кезеңдері</w:t>
      </w:r>
    </w:p>
    <w:p w:rsidR="006E3326" w:rsidRPr="006E3326" w:rsidRDefault="006E3326" w:rsidP="006E3326">
      <w:pPr>
        <w:spacing w:after="0" w:line="240" w:lineRule="auto"/>
        <w:ind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Баға саясаты мен кәсіпорын стратегиясын қалыптастыру көптеген іс-шаралар мен есептеулерді қамтиды:</w:t>
      </w:r>
    </w:p>
    <w:p w:rsidR="006E3326" w:rsidRPr="006E3326" w:rsidRDefault="006E3326" w:rsidP="006E3326">
      <w:pPr>
        <w:numPr>
          <w:ilvl w:val="0"/>
          <w:numId w:val="17"/>
        </w:numPr>
        <w:tabs>
          <w:tab w:val="clear" w:pos="720"/>
          <w:tab w:val="num" w:pos="851"/>
        </w:tabs>
        <w:spacing w:after="0" w:line="240" w:lineRule="auto"/>
        <w:ind w:left="0"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кәсіпорын өнімдерін өндіру және өткізу шығындарының оңтайлы шамасы  анықталынады;</w:t>
      </w:r>
    </w:p>
    <w:p w:rsidR="006E3326" w:rsidRPr="006E3326" w:rsidRDefault="006E3326" w:rsidP="006E3326">
      <w:pPr>
        <w:numPr>
          <w:ilvl w:val="0"/>
          <w:numId w:val="17"/>
        </w:numPr>
        <w:tabs>
          <w:tab w:val="clear" w:pos="720"/>
          <w:tab w:val="num" w:pos="851"/>
        </w:tabs>
        <w:spacing w:after="0" w:line="240" w:lineRule="auto"/>
        <w:ind w:left="0"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әлеуетті тұтынушылар  үшін кәсіпорын өнімінің пайдалылығы және тауарға белгіленетін баға деңгейінің, оның тұтынушылық қасиетіне сай болуы шаралары негізделеді;</w:t>
      </w:r>
    </w:p>
    <w:p w:rsidR="006E3326" w:rsidRPr="006E3326" w:rsidRDefault="006E3326" w:rsidP="006E3326">
      <w:pPr>
        <w:numPr>
          <w:ilvl w:val="0"/>
          <w:numId w:val="17"/>
        </w:numPr>
        <w:tabs>
          <w:tab w:val="clear" w:pos="720"/>
          <w:tab w:val="num" w:pos="851"/>
        </w:tabs>
        <w:spacing w:after="0" w:line="240" w:lineRule="auto"/>
        <w:ind w:left="0"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кәсіпорын үшін өндірістің неғұрлым тиімділігін қамтамасыз ететін өнімді өткізу көлемі және нарық үлесі  шамасы анықталынады;</w:t>
      </w:r>
    </w:p>
    <w:p w:rsidR="006E3326" w:rsidRPr="006E3326" w:rsidRDefault="006E3326" w:rsidP="006E3326">
      <w:pPr>
        <w:tabs>
          <w:tab w:val="left" w:pos="851"/>
        </w:tabs>
        <w:spacing w:after="0" w:line="240" w:lineRule="auto"/>
        <w:ind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Баға саясатын және кәсіпорын стратегиясын әзірлеу келесі үш кезеңнен тұрады: түпнегіздік ақпарат жинақтау, стратегиялық талдау, стратегияны тұжырымдау.</w:t>
      </w:r>
    </w:p>
    <w:p w:rsidR="006E3326" w:rsidRPr="006E3326" w:rsidRDefault="006E3326" w:rsidP="006E3326">
      <w:pPr>
        <w:tabs>
          <w:tab w:val="left" w:pos="851"/>
        </w:tabs>
        <w:spacing w:after="0" w:line="240" w:lineRule="auto"/>
        <w:ind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1. Түпнегіздік ақпарат жинақтау кезеңін орындау барысында келесі негізгі мәселелер орындалады:</w:t>
      </w:r>
    </w:p>
    <w:p w:rsidR="006E3326" w:rsidRPr="006E3326" w:rsidRDefault="006E3326" w:rsidP="006E3326">
      <w:pPr>
        <w:numPr>
          <w:ilvl w:val="0"/>
          <w:numId w:val="18"/>
        </w:numPr>
        <w:tabs>
          <w:tab w:val="clear" w:pos="720"/>
          <w:tab w:val="num" w:pos="-3119"/>
          <w:tab w:val="left" w:pos="851"/>
        </w:tabs>
        <w:spacing w:after="0" w:line="240" w:lineRule="auto"/>
        <w:ind w:left="0" w:firstLine="567"/>
        <w:jc w:val="both"/>
        <w:rPr>
          <w:rFonts w:ascii="Times New Roman" w:hAnsi="Times New Roman" w:cs="Times New Roman"/>
          <w:i/>
          <w:spacing w:val="-3"/>
          <w:sz w:val="28"/>
          <w:szCs w:val="28"/>
          <w:lang w:val="kk-KZ"/>
        </w:rPr>
      </w:pPr>
      <w:r w:rsidRPr="006E3326">
        <w:rPr>
          <w:rFonts w:ascii="Times New Roman" w:hAnsi="Times New Roman" w:cs="Times New Roman"/>
          <w:spacing w:val="-3"/>
          <w:sz w:val="28"/>
          <w:szCs w:val="28"/>
          <w:lang w:val="kk-KZ"/>
        </w:rPr>
        <w:t>Шығындарды бағалау;</w:t>
      </w:r>
    </w:p>
    <w:p w:rsidR="006E3326" w:rsidRPr="006E3326" w:rsidRDefault="006E3326" w:rsidP="006E3326">
      <w:pPr>
        <w:numPr>
          <w:ilvl w:val="0"/>
          <w:numId w:val="18"/>
        </w:numPr>
        <w:tabs>
          <w:tab w:val="clear" w:pos="720"/>
          <w:tab w:val="num" w:pos="-3119"/>
          <w:tab w:val="left" w:pos="851"/>
        </w:tabs>
        <w:spacing w:after="0" w:line="240" w:lineRule="auto"/>
        <w:ind w:left="0" w:firstLine="567"/>
        <w:jc w:val="both"/>
        <w:rPr>
          <w:rFonts w:ascii="Times New Roman" w:hAnsi="Times New Roman" w:cs="Times New Roman"/>
          <w:spacing w:val="-3"/>
          <w:sz w:val="28"/>
          <w:szCs w:val="28"/>
          <w:lang w:val="kk-KZ"/>
        </w:rPr>
      </w:pPr>
      <w:r w:rsidRPr="006E3326">
        <w:rPr>
          <w:rFonts w:ascii="Times New Roman" w:hAnsi="Times New Roman" w:cs="Times New Roman"/>
          <w:sz w:val="28"/>
          <w:szCs w:val="28"/>
          <w:lang w:val="kk-KZ"/>
        </w:rPr>
        <w:t>Тұтынушылар туралы ақпарат.</w:t>
      </w:r>
    </w:p>
    <w:p w:rsidR="006E3326" w:rsidRPr="006E3326" w:rsidRDefault="006E3326" w:rsidP="006E3326">
      <w:pPr>
        <w:numPr>
          <w:ilvl w:val="0"/>
          <w:numId w:val="18"/>
        </w:numPr>
        <w:tabs>
          <w:tab w:val="clear" w:pos="720"/>
          <w:tab w:val="num" w:pos="-3119"/>
          <w:tab w:val="left" w:pos="851"/>
        </w:tabs>
        <w:spacing w:after="0" w:line="240" w:lineRule="auto"/>
        <w:ind w:left="0"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Әлеуеттік бәсекелестер туралы деректер.</w:t>
      </w:r>
    </w:p>
    <w:p w:rsidR="006E3326" w:rsidRPr="006E3326" w:rsidRDefault="006E3326" w:rsidP="006E3326">
      <w:pPr>
        <w:numPr>
          <w:ilvl w:val="0"/>
          <w:numId w:val="18"/>
        </w:numPr>
        <w:tabs>
          <w:tab w:val="clear" w:pos="720"/>
          <w:tab w:val="num" w:pos="-3119"/>
          <w:tab w:val="left" w:pos="851"/>
        </w:tabs>
        <w:spacing w:after="0" w:line="240" w:lineRule="auto"/>
        <w:ind w:left="0"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Кәсіпорынның қаржы  мақсаттарын нақтылау;</w:t>
      </w:r>
    </w:p>
    <w:p w:rsidR="006E3326" w:rsidRPr="006E3326" w:rsidRDefault="006E3326" w:rsidP="006E3326">
      <w:pPr>
        <w:tabs>
          <w:tab w:val="left" w:pos="851"/>
        </w:tabs>
        <w:spacing w:after="0" w:line="240" w:lineRule="auto"/>
        <w:ind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2.  Стратегиялық талдау кезеңін орындау барысында алдын ала жинақталған ақпарат талапқа сай талдауға түседі:</w:t>
      </w:r>
    </w:p>
    <w:p w:rsidR="006E3326" w:rsidRPr="006E3326" w:rsidRDefault="006E3326" w:rsidP="006E3326">
      <w:pPr>
        <w:numPr>
          <w:ilvl w:val="0"/>
          <w:numId w:val="19"/>
        </w:numPr>
        <w:tabs>
          <w:tab w:val="clear" w:pos="720"/>
          <w:tab w:val="left" w:pos="851"/>
        </w:tabs>
        <w:spacing w:after="0" w:line="240" w:lineRule="auto"/>
        <w:ind w:left="0"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Қаржы талдауы;</w:t>
      </w:r>
    </w:p>
    <w:p w:rsidR="006E3326" w:rsidRPr="006E3326" w:rsidRDefault="006E3326" w:rsidP="006E3326">
      <w:pPr>
        <w:numPr>
          <w:ilvl w:val="0"/>
          <w:numId w:val="19"/>
        </w:numPr>
        <w:tabs>
          <w:tab w:val="clear" w:pos="720"/>
          <w:tab w:val="left" w:pos="851"/>
        </w:tabs>
        <w:spacing w:after="0" w:line="240" w:lineRule="auto"/>
        <w:ind w:left="0"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Нарық сегментін талдау;</w:t>
      </w:r>
    </w:p>
    <w:p w:rsidR="006E3326" w:rsidRPr="006E3326" w:rsidRDefault="006E3326" w:rsidP="006E3326">
      <w:pPr>
        <w:numPr>
          <w:ilvl w:val="0"/>
          <w:numId w:val="19"/>
        </w:numPr>
        <w:tabs>
          <w:tab w:val="clear" w:pos="720"/>
          <w:tab w:val="left" w:pos="851"/>
        </w:tabs>
        <w:spacing w:after="0" w:line="240" w:lineRule="auto"/>
        <w:ind w:left="0"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Бәсекелестерді талдау;</w:t>
      </w:r>
    </w:p>
    <w:p w:rsidR="006E3326" w:rsidRPr="006E3326" w:rsidRDefault="006E3326" w:rsidP="006E3326">
      <w:pPr>
        <w:numPr>
          <w:ilvl w:val="0"/>
          <w:numId w:val="19"/>
        </w:numPr>
        <w:tabs>
          <w:tab w:val="clear" w:pos="720"/>
          <w:tab w:val="left" w:pos="851"/>
        </w:tabs>
        <w:spacing w:after="0" w:line="240" w:lineRule="auto"/>
        <w:ind w:left="0" w:firstLine="567"/>
        <w:jc w:val="both"/>
        <w:rPr>
          <w:rFonts w:ascii="Times New Roman" w:hAnsi="Times New Roman" w:cs="Times New Roman"/>
          <w:spacing w:val="-3"/>
          <w:sz w:val="28"/>
          <w:szCs w:val="28"/>
          <w:lang w:val="kk-KZ"/>
        </w:rPr>
      </w:pPr>
      <w:r w:rsidRPr="006E3326">
        <w:rPr>
          <w:rFonts w:ascii="Times New Roman" w:hAnsi="Times New Roman" w:cs="Times New Roman"/>
          <w:sz w:val="28"/>
          <w:szCs w:val="28"/>
          <w:lang w:val="kk-KZ"/>
        </w:rPr>
        <w:t>Мемлекеттік реттеудің ықпалын бағалау.</w:t>
      </w:r>
    </w:p>
    <w:p w:rsidR="006E3326" w:rsidRPr="006E3326" w:rsidRDefault="006E3326" w:rsidP="006E3326">
      <w:pPr>
        <w:tabs>
          <w:tab w:val="left" w:pos="851"/>
        </w:tabs>
        <w:spacing w:after="0" w:line="240" w:lineRule="auto"/>
        <w:ind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3.  Стратегияны қалыптастыру:</w:t>
      </w:r>
    </w:p>
    <w:p w:rsidR="006E3326" w:rsidRPr="006E3326" w:rsidRDefault="006E3326" w:rsidP="006E3326">
      <w:pPr>
        <w:tabs>
          <w:tab w:val="left" w:pos="851"/>
        </w:tabs>
        <w:spacing w:after="0" w:line="240" w:lineRule="auto"/>
        <w:ind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Қорытынды баға стратегиясын белгілеу.</w:t>
      </w:r>
    </w:p>
    <w:p w:rsidR="006E3326" w:rsidRPr="006E3326" w:rsidRDefault="006E3326" w:rsidP="006E3326">
      <w:pPr>
        <w:tabs>
          <w:tab w:val="left" w:pos="851"/>
        </w:tabs>
        <w:spacing w:after="0" w:line="240" w:lineRule="auto"/>
        <w:ind w:firstLine="567"/>
        <w:jc w:val="both"/>
        <w:rPr>
          <w:rFonts w:ascii="Times New Roman" w:hAnsi="Times New Roman" w:cs="Times New Roman"/>
          <w:spacing w:val="-3"/>
          <w:sz w:val="28"/>
          <w:szCs w:val="28"/>
          <w:lang w:val="kk-KZ"/>
        </w:rPr>
      </w:pPr>
      <w:r w:rsidRPr="006E3326">
        <w:rPr>
          <w:rFonts w:ascii="Times New Roman" w:hAnsi="Times New Roman" w:cs="Times New Roman"/>
          <w:spacing w:val="-3"/>
          <w:sz w:val="28"/>
          <w:szCs w:val="28"/>
          <w:lang w:val="kk-KZ"/>
        </w:rPr>
        <w:t>Енді, нарықтық жағдайлар өзгеріске ұшырағанда әлде өз фирмаңыздың жаңа өнімдерін енгізуге даярлық жасаған кезде, бағаны белгілейтін мамандар не істеуі керектігін білуі үшін, жоғарыда көрсетілген кезеңдерге толығымен тоқталамыз.</w:t>
      </w:r>
    </w:p>
    <w:p w:rsidR="006E3326" w:rsidRDefault="006E3326" w:rsidP="006E3326">
      <w:pPr>
        <w:tabs>
          <w:tab w:val="left" w:pos="851"/>
        </w:tabs>
        <w:spacing w:after="0" w:line="240" w:lineRule="auto"/>
        <w:ind w:firstLine="567"/>
        <w:jc w:val="both"/>
        <w:rPr>
          <w:rFonts w:ascii="Times New Roman" w:hAnsi="Times New Roman" w:cs="Times New Roman"/>
          <w:spacing w:val="-3"/>
          <w:sz w:val="28"/>
          <w:szCs w:val="28"/>
          <w:lang w:val="kk-KZ"/>
        </w:rPr>
      </w:pPr>
    </w:p>
    <w:p w:rsidR="006E3326" w:rsidRPr="006E3326" w:rsidRDefault="006E3326" w:rsidP="006E3326">
      <w:pPr>
        <w:tabs>
          <w:tab w:val="left" w:pos="851"/>
        </w:tabs>
        <w:spacing w:after="0" w:line="240" w:lineRule="auto"/>
        <w:ind w:firstLine="567"/>
        <w:jc w:val="both"/>
        <w:rPr>
          <w:rFonts w:ascii="Times New Roman" w:hAnsi="Times New Roman" w:cs="Times New Roman"/>
          <w:b/>
          <w:spacing w:val="-3"/>
          <w:sz w:val="28"/>
          <w:szCs w:val="28"/>
          <w:lang w:val="kk-KZ"/>
        </w:rPr>
      </w:pPr>
      <w:r w:rsidRPr="006E3326">
        <w:rPr>
          <w:rFonts w:ascii="Times New Roman" w:hAnsi="Times New Roman" w:cs="Times New Roman"/>
          <w:b/>
          <w:spacing w:val="-3"/>
          <w:sz w:val="28"/>
          <w:szCs w:val="28"/>
          <w:lang w:val="en-US"/>
        </w:rPr>
        <w:t>I.</w:t>
      </w:r>
      <w:r w:rsidRPr="006E3326">
        <w:rPr>
          <w:rFonts w:ascii="Times New Roman" w:hAnsi="Times New Roman" w:cs="Times New Roman"/>
          <w:b/>
          <w:spacing w:val="-3"/>
          <w:sz w:val="28"/>
          <w:szCs w:val="28"/>
          <w:lang w:val="kk-KZ"/>
        </w:rPr>
        <w:t xml:space="preserve"> Түпнегіздік ақпарат жинақтау</w:t>
      </w:r>
    </w:p>
    <w:p w:rsidR="006E3326" w:rsidRPr="006E3326" w:rsidRDefault="006E3326" w:rsidP="006E3326">
      <w:pPr>
        <w:numPr>
          <w:ilvl w:val="0"/>
          <w:numId w:val="4"/>
        </w:numPr>
        <w:tabs>
          <w:tab w:val="clear" w:pos="720"/>
          <w:tab w:val="num" w:pos="0"/>
          <w:tab w:val="left"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b/>
          <w:i/>
          <w:sz w:val="28"/>
          <w:szCs w:val="28"/>
          <w:lang w:val="kk-KZ"/>
        </w:rPr>
        <w:t>Шығындарды бағалау</w:t>
      </w:r>
      <w:r w:rsidRPr="006E3326">
        <w:rPr>
          <w:rFonts w:ascii="Times New Roman" w:hAnsi="Times New Roman" w:cs="Times New Roman"/>
          <w:i/>
          <w:sz w:val="28"/>
          <w:szCs w:val="28"/>
          <w:lang w:val="kk-KZ"/>
        </w:rPr>
        <w:t>.</w:t>
      </w:r>
      <w:r w:rsidRPr="006E3326">
        <w:rPr>
          <w:rFonts w:ascii="Times New Roman" w:hAnsi="Times New Roman" w:cs="Times New Roman"/>
          <w:sz w:val="28"/>
          <w:szCs w:val="28"/>
          <w:lang w:val="kk-KZ"/>
        </w:rPr>
        <w:t xml:space="preserve"> Баға белгілеу туралы нақты шешім қабылдауға қандай болдырмауға болатын қосымша шығындар әсер етеді?</w:t>
      </w:r>
    </w:p>
    <w:p w:rsidR="006E3326" w:rsidRPr="006E3326" w:rsidRDefault="006E3326" w:rsidP="006E3326">
      <w:pPr>
        <w:numPr>
          <w:ilvl w:val="0"/>
          <w:numId w:val="5"/>
        </w:numPr>
        <w:tabs>
          <w:tab w:val="left"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lastRenderedPageBreak/>
        <w:t>өндірісті, клиент сервисін және техникалық қызмет көрсету сатыларын қоса қарастырғанда, сату көлемінің өзгеруіне байланысты қандай шығындар нақты көбейетін шығындарға жатады?</w:t>
      </w:r>
    </w:p>
    <w:p w:rsidR="006E3326" w:rsidRPr="006E3326" w:rsidRDefault="006E3326" w:rsidP="006E3326">
      <w:pPr>
        <w:numPr>
          <w:ilvl w:val="0"/>
          <w:numId w:val="5"/>
        </w:numPr>
        <w:tabs>
          <w:tab w:val="left"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өнім өндірісінің қандай деңгейінде қосымша шығындар қажет және ол неге тең болады?</w:t>
      </w:r>
    </w:p>
    <w:p w:rsidR="006E3326" w:rsidRPr="006E3326" w:rsidRDefault="006E3326" w:rsidP="006E3326">
      <w:pPr>
        <w:numPr>
          <w:ilvl w:val="0"/>
          <w:numId w:val="5"/>
        </w:numPr>
        <w:tabs>
          <w:tab w:val="left"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өндіріс көлемі өзгерісінің қандай деңгейінде шартты-тұрақты шығындар өзгеріске ұшырайды, осы өзгеріс соншалық маңызды ма?</w:t>
      </w:r>
    </w:p>
    <w:p w:rsidR="006E3326" w:rsidRPr="006E3326" w:rsidRDefault="006E3326" w:rsidP="006E3326">
      <w:pPr>
        <w:numPr>
          <w:ilvl w:val="0"/>
          <w:numId w:val="5"/>
        </w:numPr>
        <w:tabs>
          <w:tab w:val="left"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қабылданған баға шешіміне қатысты алғанда қандай тұрақты шығындарды болдырмауға болады?</w:t>
      </w:r>
    </w:p>
    <w:p w:rsidR="006E3326" w:rsidRPr="006E3326" w:rsidRDefault="006E3326" w:rsidP="006E3326">
      <w:pPr>
        <w:numPr>
          <w:ilvl w:val="0"/>
          <w:numId w:val="4"/>
        </w:numPr>
        <w:tabs>
          <w:tab w:val="clear" w:pos="720"/>
          <w:tab w:val="left"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 xml:space="preserve"> </w:t>
      </w:r>
      <w:r w:rsidRPr="006E3326">
        <w:rPr>
          <w:rFonts w:ascii="Times New Roman" w:hAnsi="Times New Roman" w:cs="Times New Roman"/>
          <w:b/>
          <w:i/>
          <w:sz w:val="28"/>
          <w:szCs w:val="28"/>
          <w:lang w:val="kk-KZ"/>
        </w:rPr>
        <w:t>Тұтынушылар туралы ақпарат</w:t>
      </w:r>
      <w:r w:rsidRPr="006E3326">
        <w:rPr>
          <w:rFonts w:ascii="Times New Roman" w:hAnsi="Times New Roman" w:cs="Times New Roman"/>
          <w:b/>
          <w:sz w:val="28"/>
          <w:szCs w:val="28"/>
          <w:lang w:val="kk-KZ"/>
        </w:rPr>
        <w:t>.</w:t>
      </w:r>
      <w:r w:rsidRPr="006E3326">
        <w:rPr>
          <w:rFonts w:ascii="Times New Roman" w:hAnsi="Times New Roman" w:cs="Times New Roman"/>
          <w:sz w:val="28"/>
          <w:szCs w:val="28"/>
          <w:lang w:val="kk-KZ"/>
        </w:rPr>
        <w:t xml:space="preserve"> Потенциалды тұтынушылар кім,  және      олар неліктен осы тауарды сатып алғысы келеді?</w:t>
      </w:r>
    </w:p>
    <w:p w:rsidR="006E3326" w:rsidRPr="006E3326" w:rsidRDefault="006E3326" w:rsidP="006E3326">
      <w:pPr>
        <w:numPr>
          <w:ilvl w:val="0"/>
          <w:numId w:val="6"/>
        </w:numPr>
        <w:tabs>
          <w:tab w:val="left"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тұтынушылар үшін осы өнімнің әлде қызметтің экономикалық құндылығы неден тұрады?</w:t>
      </w:r>
    </w:p>
    <w:p w:rsidR="006E3326" w:rsidRPr="006E3326" w:rsidRDefault="006E3326" w:rsidP="006E3326">
      <w:pPr>
        <w:numPr>
          <w:ilvl w:val="0"/>
          <w:numId w:val="6"/>
        </w:numPr>
        <w:tabs>
          <w:tab w:val="left"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басқалай қандай факторлар (альтернативаларды салыстырудағы қиындықтар, сатып алынған тауардың мәртебесі, бюджеттік шектеулер т.б.) тұтынушылардың бағаға сезімталдығына әсер етеді.</w:t>
      </w:r>
    </w:p>
    <w:p w:rsidR="006E3326" w:rsidRPr="006E3326" w:rsidRDefault="006E3326" w:rsidP="006E3326">
      <w:pPr>
        <w:numPr>
          <w:ilvl w:val="0"/>
          <w:numId w:val="6"/>
        </w:numPr>
        <w:tabs>
          <w:tab w:val="left"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тұтынушылардың бағаға  сезімталдығына әсер ететін, баға және бағаға қатыссыз факторларды қабылдаудағы айырмашылықтар тұтынушыларды нарық сегменттеріне қалай бөледі?</w:t>
      </w:r>
    </w:p>
    <w:p w:rsidR="006E3326" w:rsidRPr="006E3326" w:rsidRDefault="006E3326" w:rsidP="006E3326">
      <w:pPr>
        <w:numPr>
          <w:ilvl w:val="0"/>
          <w:numId w:val="6"/>
        </w:numPr>
        <w:tabs>
          <w:tab w:val="left"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нарықта тауарды жайғастыру стратегиясы тұтынушылардың тауарды сатып алуға әзірлігіне қалай әсер етеді?</w:t>
      </w:r>
    </w:p>
    <w:p w:rsidR="006E3326" w:rsidRPr="006E3326" w:rsidRDefault="006E3326" w:rsidP="006E3326">
      <w:pPr>
        <w:numPr>
          <w:ilvl w:val="0"/>
          <w:numId w:val="4"/>
        </w:numPr>
        <w:tabs>
          <w:tab w:val="left"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b/>
          <w:i/>
          <w:sz w:val="28"/>
          <w:szCs w:val="28"/>
          <w:lang w:val="kk-KZ"/>
        </w:rPr>
        <w:t>Әлеуеттік бәсекелестер туралы деректер</w:t>
      </w:r>
      <w:r w:rsidRPr="006E3326">
        <w:rPr>
          <w:rFonts w:ascii="Times New Roman" w:hAnsi="Times New Roman" w:cs="Times New Roman"/>
          <w:i/>
          <w:sz w:val="28"/>
          <w:szCs w:val="28"/>
          <w:lang w:val="kk-KZ"/>
        </w:rPr>
        <w:t>.</w:t>
      </w:r>
      <w:r w:rsidRPr="006E3326">
        <w:rPr>
          <w:rFonts w:ascii="Times New Roman" w:hAnsi="Times New Roman" w:cs="Times New Roman"/>
          <w:sz w:val="28"/>
          <w:szCs w:val="28"/>
          <w:lang w:val="kk-KZ"/>
        </w:rPr>
        <w:t xml:space="preserve"> Кім ағымдағы және әлеуетті бәсекелес болуы мүмкін, кімнің бағыты осы нарықта пайдалылық деңгейіне тосқауыл болуы мүмкін?</w:t>
      </w:r>
    </w:p>
    <w:p w:rsidR="006E3326" w:rsidRPr="006E3326" w:rsidRDefault="006E3326" w:rsidP="006E3326">
      <w:pPr>
        <w:numPr>
          <w:ilvl w:val="0"/>
          <w:numId w:val="7"/>
        </w:numPr>
        <w:tabs>
          <w:tab w:val="left"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қандай фирмалар ағымдағы және потенциалдық негізгі бәсекелестер  болып саналады?</w:t>
      </w:r>
    </w:p>
    <w:p w:rsidR="006E3326" w:rsidRPr="006E3326" w:rsidRDefault="006E3326" w:rsidP="006E3326">
      <w:pPr>
        <w:numPr>
          <w:ilvl w:val="0"/>
          <w:numId w:val="7"/>
        </w:numPr>
        <w:tabs>
          <w:tab w:val="left"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егер қазіргі кезеңде нарықта бәсекелестер болатын болса, олардың өз тұтынушыларымен арасында қандай келісім бағалары қалыптасқан?</w:t>
      </w:r>
    </w:p>
    <w:p w:rsidR="006E3326" w:rsidRPr="006E3326" w:rsidRDefault="006E3326" w:rsidP="006E3326">
      <w:pPr>
        <w:numPr>
          <w:ilvl w:val="0"/>
          <w:numId w:val="7"/>
        </w:numPr>
        <w:tabs>
          <w:tab w:val="left"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 xml:space="preserve"> бәсекелес-фирмалар туралы келесі ақпарат негізінде олардың баға белгілеудегі мақсатын анықтауға болады ма? Олар: өткен кезеңдегі әрекеттері, менеджерлердің жеке ерекшеліктері, ұйымдық құрылымы, даму жоспары және т.б.. Әсіресе, фирма үшін негізгі мәселе - пайданы ұлғайту мақсаты ма, әлде өткізу көлемін ұлғайту  мақсаты ма екенін анықтау мүмкіндігі қандай? </w:t>
      </w:r>
    </w:p>
    <w:p w:rsidR="006E3326" w:rsidRPr="006E3326" w:rsidRDefault="006E3326" w:rsidP="006E3326">
      <w:pPr>
        <w:numPr>
          <w:ilvl w:val="0"/>
          <w:numId w:val="7"/>
        </w:numPr>
        <w:tabs>
          <w:tab w:val="left"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сіздің фирмаңызбен салыстырғанда бәсекелестердің артықшылықтары және әлсіздіктері неден көрінеді: а) олардың бағадан алатын ұтыс шамасының үлесі  жоғары (төмен);  б) олар тұтынушылар үшін жақсы (нашар) атаққа іліккен;  в) оларда көпті (азды) жетілдірілген тауарлар бар;  г) олар көпті (азды) ассортиментке ие?</w:t>
      </w:r>
    </w:p>
    <w:p w:rsidR="006E3326" w:rsidRPr="006E3326" w:rsidRDefault="006E3326" w:rsidP="006E3326">
      <w:pPr>
        <w:spacing w:after="0" w:line="240" w:lineRule="auto"/>
        <w:ind w:firstLine="567"/>
        <w:jc w:val="both"/>
        <w:rPr>
          <w:rFonts w:ascii="Times New Roman" w:hAnsi="Times New Roman" w:cs="Times New Roman"/>
          <w:sz w:val="28"/>
          <w:szCs w:val="28"/>
          <w:lang w:val="kk-KZ"/>
        </w:rPr>
      </w:pPr>
      <w:r w:rsidRPr="006E3326">
        <w:rPr>
          <w:rFonts w:ascii="Times New Roman" w:hAnsi="Times New Roman" w:cs="Times New Roman"/>
          <w:i/>
          <w:sz w:val="28"/>
          <w:szCs w:val="28"/>
          <w:lang w:val="kk-KZ"/>
        </w:rPr>
        <w:t>4.</w:t>
      </w:r>
      <w:r w:rsidRPr="006E3326">
        <w:rPr>
          <w:rFonts w:ascii="Times New Roman" w:hAnsi="Times New Roman" w:cs="Times New Roman"/>
          <w:b/>
          <w:i/>
          <w:sz w:val="28"/>
          <w:szCs w:val="28"/>
          <w:lang w:val="kk-KZ"/>
        </w:rPr>
        <w:t>Кәсіпорынның қаржы мақсаттарын талдау.</w:t>
      </w:r>
      <w:r w:rsidRPr="006E3326">
        <w:rPr>
          <w:rFonts w:ascii="Times New Roman" w:hAnsi="Times New Roman" w:cs="Times New Roman"/>
          <w:sz w:val="28"/>
          <w:szCs w:val="28"/>
          <w:lang w:val="kk-KZ"/>
        </w:rPr>
        <w:t xml:space="preserve"> Баға стратегиясын жете зерттеуді бастамас бұрын, баға белгілеуші маман кәсіпорынның басқа мамандарымен ақылдаса отырып, дәл осы кезеңде кәсіпорынның негізгі қаржы мақсаттарына не жататындығын анықтап алуы қажет. Егер, бұл мәселе алдын </w:t>
      </w:r>
      <w:r w:rsidRPr="006E3326">
        <w:rPr>
          <w:rFonts w:ascii="Times New Roman" w:hAnsi="Times New Roman" w:cs="Times New Roman"/>
          <w:sz w:val="28"/>
          <w:szCs w:val="28"/>
          <w:lang w:val="kk-KZ"/>
        </w:rPr>
        <w:lastRenderedPageBreak/>
        <w:t>ала қарастырылмай, мамандар талдауынан тыс қалса, баға стратегиясы қанағаттанарлықсыз болады.  Осыған сәйкес, бұл жұмыс барысында келесі сұрақтарға жауап іздеу керек:</w:t>
      </w:r>
    </w:p>
    <w:p w:rsidR="006E3326" w:rsidRPr="006E3326" w:rsidRDefault="006E3326" w:rsidP="006E3326">
      <w:pPr>
        <w:numPr>
          <w:ilvl w:val="0"/>
          <w:numId w:val="20"/>
        </w:numPr>
        <w:tabs>
          <w:tab w:val="clear" w:pos="720"/>
          <w:tab w:val="num"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осы тауарлар түрін сатып өткізе отырып, кәсіпорынға қандай деңгейдегі пайдалылық деңгейін қамтамасыз ету қажет;</w:t>
      </w:r>
    </w:p>
    <w:p w:rsidR="006E3326" w:rsidRPr="006E3326" w:rsidRDefault="006E3326" w:rsidP="006E3326">
      <w:pPr>
        <w:numPr>
          <w:ilvl w:val="0"/>
          <w:numId w:val="20"/>
        </w:numPr>
        <w:tabs>
          <w:tab w:val="clear" w:pos="720"/>
          <w:tab w:val="num"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кәсіпорын дәл қазіргі жағдайда келесі жағдайлардың қайсысына бағытталған:  неғұрлым жоғарғы деңгейдегі пайдалылық деңгейін алуға;  жалпы пайда көлемін ұлғайтуға; алдын ала тартылған қарыздарды жабу үшін пайда табу және т.б.?</w:t>
      </w:r>
    </w:p>
    <w:p w:rsidR="006E3326" w:rsidRDefault="006E3326" w:rsidP="006E3326">
      <w:pPr>
        <w:spacing w:after="0" w:line="240" w:lineRule="auto"/>
        <w:ind w:firstLine="567"/>
        <w:jc w:val="both"/>
        <w:rPr>
          <w:rFonts w:ascii="Times New Roman" w:hAnsi="Times New Roman" w:cs="Times New Roman"/>
          <w:b/>
          <w:sz w:val="28"/>
          <w:szCs w:val="28"/>
          <w:lang w:val="kk-KZ"/>
        </w:rPr>
      </w:pPr>
    </w:p>
    <w:p w:rsidR="006E3326" w:rsidRPr="006E3326" w:rsidRDefault="006E3326" w:rsidP="006E3326">
      <w:pPr>
        <w:spacing w:after="0" w:line="240" w:lineRule="auto"/>
        <w:ind w:firstLine="567"/>
        <w:jc w:val="both"/>
        <w:rPr>
          <w:rFonts w:ascii="Times New Roman" w:hAnsi="Times New Roman" w:cs="Times New Roman"/>
          <w:b/>
          <w:sz w:val="28"/>
          <w:szCs w:val="28"/>
          <w:lang w:val="kk-KZ"/>
        </w:rPr>
      </w:pPr>
      <w:r w:rsidRPr="006E3326">
        <w:rPr>
          <w:rFonts w:ascii="Times New Roman" w:hAnsi="Times New Roman" w:cs="Times New Roman"/>
          <w:b/>
          <w:sz w:val="28"/>
          <w:szCs w:val="28"/>
          <w:lang w:val="kk-KZ"/>
        </w:rPr>
        <w:t>II.Стратегиялық талдау</w:t>
      </w:r>
    </w:p>
    <w:p w:rsidR="006E3326" w:rsidRPr="006E3326" w:rsidRDefault="006E3326" w:rsidP="006E3326">
      <w:pPr>
        <w:spacing w:after="0" w:line="240" w:lineRule="auto"/>
        <w:ind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 xml:space="preserve">Стратегиялық талдау кезеңінде барлық ақпарат бағаланып, баға стратегиясының қорытынды вариантын жасау үшін қолданылады. </w:t>
      </w:r>
    </w:p>
    <w:p w:rsidR="006E3326" w:rsidRPr="006E3326" w:rsidRDefault="006E3326" w:rsidP="006E3326">
      <w:pPr>
        <w:spacing w:after="0" w:line="240" w:lineRule="auto"/>
        <w:ind w:firstLine="567"/>
        <w:jc w:val="both"/>
        <w:rPr>
          <w:rFonts w:ascii="Times New Roman" w:hAnsi="Times New Roman" w:cs="Times New Roman"/>
          <w:sz w:val="28"/>
          <w:szCs w:val="28"/>
          <w:lang w:val="kk-KZ"/>
        </w:rPr>
      </w:pPr>
      <w:r w:rsidRPr="006E3326">
        <w:rPr>
          <w:rFonts w:ascii="Times New Roman" w:hAnsi="Times New Roman" w:cs="Times New Roman"/>
          <w:i/>
          <w:sz w:val="28"/>
          <w:szCs w:val="28"/>
          <w:lang w:val="kk-KZ"/>
        </w:rPr>
        <w:t xml:space="preserve">5. </w:t>
      </w:r>
      <w:r w:rsidRPr="006E3326">
        <w:rPr>
          <w:rFonts w:ascii="Times New Roman" w:hAnsi="Times New Roman" w:cs="Times New Roman"/>
          <w:b/>
          <w:i/>
          <w:sz w:val="28"/>
          <w:szCs w:val="28"/>
          <w:lang w:val="kk-KZ"/>
        </w:rPr>
        <w:t>Қаржы талдауы</w:t>
      </w:r>
      <w:r w:rsidRPr="006E3326">
        <w:rPr>
          <w:rFonts w:ascii="Times New Roman" w:hAnsi="Times New Roman" w:cs="Times New Roman"/>
          <w:i/>
          <w:sz w:val="28"/>
          <w:szCs w:val="28"/>
          <w:lang w:val="kk-KZ"/>
        </w:rPr>
        <w:t>.</w:t>
      </w:r>
      <w:r w:rsidRPr="006E3326">
        <w:rPr>
          <w:rFonts w:ascii="Times New Roman" w:hAnsi="Times New Roman" w:cs="Times New Roman"/>
          <w:sz w:val="28"/>
          <w:szCs w:val="28"/>
          <w:lang w:val="kk-KZ"/>
        </w:rPr>
        <w:t xml:space="preserve"> Қаржы талдауын алдын ала болжанған төмендегі деректер көмегімен  жасайды:</w:t>
      </w:r>
    </w:p>
    <w:p w:rsidR="006E3326" w:rsidRPr="006E3326" w:rsidRDefault="006E3326" w:rsidP="006E3326">
      <w:pPr>
        <w:numPr>
          <w:ilvl w:val="0"/>
          <w:numId w:val="9"/>
        </w:numPr>
        <w:tabs>
          <w:tab w:val="clear" w:pos="720"/>
          <w:tab w:val="num"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бағаның мүмкін болатын варианттары жөніндегі ақпарат;</w:t>
      </w:r>
    </w:p>
    <w:p w:rsidR="006E3326" w:rsidRPr="006E3326" w:rsidRDefault="006E3326" w:rsidP="006E3326">
      <w:pPr>
        <w:numPr>
          <w:ilvl w:val="0"/>
          <w:numId w:val="9"/>
        </w:numPr>
        <w:tabs>
          <w:tab w:val="clear" w:pos="720"/>
          <w:tab w:val="num"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өнім және оны өндіруге жұмсалатын шығындар туралы ақпарат;</w:t>
      </w:r>
    </w:p>
    <w:p w:rsidR="006E3326" w:rsidRPr="006E3326" w:rsidRDefault="006E3326" w:rsidP="006E3326">
      <w:pPr>
        <w:tabs>
          <w:tab w:val="num" w:pos="851"/>
        </w:tabs>
        <w:spacing w:after="0" w:line="240" w:lineRule="auto"/>
        <w:ind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 xml:space="preserve">мүмкін болатын нарық сегментін таңдау жөніндегі ақпарат, яғни мұнда фирма тұтынушыларының мұқтажын толық қанағаттандыра отырып, оларды жаулап алатындай жағдайы бар. Немесе, осы нарық сегментінде фирма үшін, орнықты бәсекелестік басымдылығын қалыптастыруға, артықшылық мүмкіндіктері бар. Сонымен қатар, өсетін шығындарға негізделген қаржы талдауы, фирмаға нарықтың қандай секторы тиімді екендігін анықтауға көмектесе алады. Ол үшін келесі мәселелер қарастырылып, қорытынды жасалынады:  </w:t>
      </w:r>
    </w:p>
    <w:p w:rsidR="006E3326" w:rsidRPr="006E3326" w:rsidRDefault="006E3326" w:rsidP="006E3326">
      <w:pPr>
        <w:tabs>
          <w:tab w:val="num" w:pos="851"/>
        </w:tabs>
        <w:spacing w:after="0" w:line="240" w:lineRule="auto"/>
        <w:ind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 бәсекелестерге қарағанда клиенттерге неғұрлым жоғарғы деңгейде қызмет көрсету үшін қосымша шығындар жасау керек пе, әлде</w:t>
      </w:r>
    </w:p>
    <w:p w:rsidR="006E3326" w:rsidRPr="006E3326" w:rsidRDefault="006E3326" w:rsidP="006E3326">
      <w:pPr>
        <w:tabs>
          <w:tab w:val="num" w:pos="851"/>
        </w:tabs>
        <w:spacing w:after="0" w:line="240" w:lineRule="auto"/>
        <w:ind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 xml:space="preserve">-   өз әрекетін жетілдіру, соның негізінде  аз шығын жұмсай отырып клиенттерге  бәсекелестер сияқты деңгейде  қызмет көрсеткен қолайлы ма? </w:t>
      </w:r>
    </w:p>
    <w:p w:rsidR="006E3326" w:rsidRPr="006E3326" w:rsidRDefault="006E3326" w:rsidP="006E3326">
      <w:pPr>
        <w:tabs>
          <w:tab w:val="num" w:pos="851"/>
        </w:tabs>
        <w:spacing w:after="0" w:line="240" w:lineRule="auto"/>
        <w:ind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Нақты қорытындыны, төмендегі сұрақтарға берілген жауаптарға сүйене  отырып жасауға болады:</w:t>
      </w:r>
    </w:p>
    <w:p w:rsidR="006E3326" w:rsidRPr="006E3326" w:rsidRDefault="006E3326" w:rsidP="006E3326">
      <w:pPr>
        <w:numPr>
          <w:ilvl w:val="0"/>
          <w:numId w:val="10"/>
        </w:numPr>
        <w:tabs>
          <w:tab w:val="clear" w:pos="720"/>
          <w:tab w:val="num"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қолданыстағы баға бойынша фирманың аталған өнімді өндіруден (өткізуден) алатын үлесті және жалпы ұтысы қандай?</w:t>
      </w:r>
    </w:p>
    <w:p w:rsidR="006E3326" w:rsidRPr="006E3326" w:rsidRDefault="006E3326" w:rsidP="006E3326">
      <w:pPr>
        <w:numPr>
          <w:ilvl w:val="0"/>
          <w:numId w:val="10"/>
        </w:numPr>
        <w:tabs>
          <w:tab w:val="clear" w:pos="720"/>
          <w:tab w:val="num"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баға төмендеген жағдайда, фирманың ұтысының жалпы шамасы ұлғаю үшін, өткізу көлемі қандай деңгейге дейін артуы қажет?</w:t>
      </w:r>
    </w:p>
    <w:p w:rsidR="006E3326" w:rsidRPr="006E3326" w:rsidRDefault="006E3326" w:rsidP="006E3326">
      <w:pPr>
        <w:numPr>
          <w:ilvl w:val="0"/>
          <w:numId w:val="10"/>
        </w:numPr>
        <w:tabs>
          <w:tab w:val="clear" w:pos="720"/>
          <w:tab w:val="num"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баға көтерілген жағдайда, фирманың жалпы ұтысы қалыптасқан деңгейге түскенге дейін,  өткізу көлемін, қандай деңгейге дейін азайту мүмкіндігі бар?</w:t>
      </w:r>
    </w:p>
    <w:p w:rsidR="006E3326" w:rsidRPr="006E3326" w:rsidRDefault="006E3326" w:rsidP="006E3326">
      <w:pPr>
        <w:numPr>
          <w:ilvl w:val="0"/>
          <w:numId w:val="10"/>
        </w:numPr>
        <w:tabs>
          <w:tab w:val="clear" w:pos="720"/>
          <w:tab w:val="num"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талданатын баға шешімін іске асыру барысында туындаған өсімтал тұрақты-шартты шығындардың орнын толтыру үшін, өткізу көлемінің қандай өсімі қажет?</w:t>
      </w:r>
    </w:p>
    <w:p w:rsidR="006E3326" w:rsidRPr="006E3326" w:rsidRDefault="006E3326" w:rsidP="006E3326">
      <w:pPr>
        <w:numPr>
          <w:ilvl w:val="0"/>
          <w:numId w:val="10"/>
        </w:numPr>
        <w:tabs>
          <w:tab w:val="clear" w:pos="720"/>
          <w:tab w:val="num"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lastRenderedPageBreak/>
        <w:t xml:space="preserve">нарыққа жаңа тауарды енгізгенде қажет, шартты-тұрақты шығындарды ақтау үшін, өткізудің қандай көлеміне қол жеткізу керек? </w:t>
      </w:r>
    </w:p>
    <w:p w:rsidR="006E3326" w:rsidRPr="006E3326" w:rsidRDefault="006E3326" w:rsidP="006E3326">
      <w:pPr>
        <w:spacing w:after="0" w:line="240" w:lineRule="auto"/>
        <w:ind w:firstLine="567"/>
        <w:jc w:val="both"/>
        <w:rPr>
          <w:rFonts w:ascii="Times New Roman" w:hAnsi="Times New Roman" w:cs="Times New Roman"/>
          <w:sz w:val="28"/>
          <w:szCs w:val="28"/>
          <w:lang w:val="kk-KZ"/>
        </w:rPr>
      </w:pPr>
      <w:r w:rsidRPr="006E3326">
        <w:rPr>
          <w:rFonts w:ascii="Times New Roman" w:hAnsi="Times New Roman" w:cs="Times New Roman"/>
          <w:b/>
          <w:i/>
          <w:sz w:val="28"/>
          <w:szCs w:val="28"/>
          <w:lang w:val="kk-KZ"/>
        </w:rPr>
        <w:t>6. Нарық сегментін талдау.</w:t>
      </w:r>
      <w:r w:rsidRPr="006E3326">
        <w:rPr>
          <w:rFonts w:ascii="Times New Roman" w:hAnsi="Times New Roman" w:cs="Times New Roman"/>
          <w:sz w:val="28"/>
          <w:szCs w:val="28"/>
          <w:lang w:val="kk-KZ"/>
        </w:rPr>
        <w:t xml:space="preserve"> Фирманың  сатып алушылардың әр түрлі сегменттеріне анықтаған бағасы а) нарық сегменттерінің бағаға сезімталдығын және б) сатып алушылардың әр түрлі тобына қызмет көрсетудегі қосымша шығындардағы айырмашылықтарды қалай сипаттайды? Сатып алуды жүзеге асыру уәждемесін ескере отырып, фирма қалай, сатып алушылардың әр түрлі сегменттерімен неғұрлым тиімді бірлесіп әрекет ете алады? Бұл мәселелердің шешімі, келесі сұрақтар жауабынан табылады. </w:t>
      </w:r>
    </w:p>
    <w:p w:rsidR="006E3326" w:rsidRPr="006E3326" w:rsidRDefault="006E3326" w:rsidP="006E3326">
      <w:pPr>
        <w:numPr>
          <w:ilvl w:val="0"/>
          <w:numId w:val="11"/>
        </w:numPr>
        <w:tabs>
          <w:tab w:val="clear" w:pos="870"/>
          <w:tab w:val="num"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әр түрлі сегментке кіретін сатып алушыларды, олар тауарды сатып алмас бұрын қалай анықтауға болады?</w:t>
      </w:r>
    </w:p>
    <w:p w:rsidR="006E3326" w:rsidRPr="006E3326" w:rsidRDefault="006E3326" w:rsidP="006E3326">
      <w:pPr>
        <w:numPr>
          <w:ilvl w:val="0"/>
          <w:numId w:val="11"/>
        </w:numPr>
        <w:tabs>
          <w:tab w:val="clear" w:pos="870"/>
          <w:tab w:val="num"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төмен бағамен сату, жоғары бағамен сататын нарықтың құнын түсірмес үшін, сатып алушы сегменттері арасындағы дәл шекараны қалай анықтауға болады?</w:t>
      </w:r>
    </w:p>
    <w:p w:rsidR="006E3326" w:rsidRPr="006E3326" w:rsidRDefault="006E3326" w:rsidP="006E3326">
      <w:pPr>
        <w:numPr>
          <w:ilvl w:val="0"/>
          <w:numId w:val="11"/>
        </w:numPr>
        <w:tabs>
          <w:tab w:val="clear" w:pos="870"/>
          <w:tab w:val="num"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бағаны сегменттеуде фирма қалай құқықтық шектеулерді бұзудан құтыла алады?</w:t>
      </w:r>
    </w:p>
    <w:p w:rsidR="006E3326" w:rsidRPr="006E3326" w:rsidRDefault="006E3326" w:rsidP="006E3326">
      <w:pPr>
        <w:tabs>
          <w:tab w:val="num" w:pos="851"/>
        </w:tabs>
        <w:spacing w:after="0" w:line="240" w:lineRule="auto"/>
        <w:ind w:firstLine="567"/>
        <w:jc w:val="both"/>
        <w:rPr>
          <w:rFonts w:ascii="Times New Roman" w:hAnsi="Times New Roman" w:cs="Times New Roman"/>
          <w:sz w:val="28"/>
          <w:szCs w:val="28"/>
          <w:lang w:val="kk-KZ"/>
        </w:rPr>
      </w:pPr>
      <w:r w:rsidRPr="006E3326">
        <w:rPr>
          <w:rFonts w:ascii="Times New Roman" w:hAnsi="Times New Roman" w:cs="Times New Roman"/>
          <w:b/>
          <w:i/>
          <w:sz w:val="28"/>
          <w:szCs w:val="28"/>
          <w:lang w:val="kk-KZ"/>
        </w:rPr>
        <w:t>7.  Бәсекелестерді талдау.</w:t>
      </w:r>
      <w:r w:rsidRPr="006E3326">
        <w:rPr>
          <w:rFonts w:ascii="Times New Roman" w:hAnsi="Times New Roman" w:cs="Times New Roman"/>
          <w:sz w:val="28"/>
          <w:szCs w:val="28"/>
          <w:lang w:val="kk-KZ"/>
        </w:rPr>
        <w:t xml:space="preserve"> Бәсекелестер туралы жинақталған деректер негізінде нарықтағы бәсекелестердің мүмкін болатын іс әрекеттері болжамданады. Соның ішінде фирма ұсынған бағаға, ол бағаның өзгерісіне бәсекелестердің кері жауап қайтаруы, әрекет қылуы толығымен талданады. Фирманың қолданыстағы және болжамданған стратегиясының өміршеңдігіне бәсекелестер әрекеті қалай әсер етуі мүмкін? Бәсекелестердің кері іс-әрекеті фирма пайдалылығына қандай деңгейде ықпалын тигізуі мүмкін? - деген сұрақтар туындайды. Оған жауапты келесі мәселелерге жауап беру арқылы шешуге болады.</w:t>
      </w:r>
    </w:p>
    <w:p w:rsidR="006E3326" w:rsidRPr="006E3326" w:rsidRDefault="006E3326" w:rsidP="006E3326">
      <w:pPr>
        <w:numPr>
          <w:ilvl w:val="0"/>
          <w:numId w:val="12"/>
        </w:numPr>
        <w:tabs>
          <w:tab w:val="clear" w:pos="870"/>
          <w:tab w:val="num"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бәсекелестердің мүмкіндіктері мен ниеттерін біле отырып, фирма өзі үшін пайда әкелетін қандай мақсаттарға қол жеткізе алады?</w:t>
      </w:r>
    </w:p>
    <w:p w:rsidR="006E3326" w:rsidRPr="006E3326" w:rsidRDefault="006E3326" w:rsidP="006E3326">
      <w:pPr>
        <w:numPr>
          <w:ilvl w:val="0"/>
          <w:numId w:val="12"/>
        </w:numPr>
        <w:tabs>
          <w:tab w:val="clear" w:pos="870"/>
          <w:tab w:val="num"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фирма өз мақсаттарын қол жетерлік және неғұрлым тиімді ету үшін,  ақпаратты бәсекелестердің іс әрекетіне әсер ететіндей етіп қалай қолдана алады?</w:t>
      </w:r>
    </w:p>
    <w:p w:rsidR="006E3326" w:rsidRPr="006E3326" w:rsidRDefault="006E3326" w:rsidP="006E3326">
      <w:pPr>
        <w:numPr>
          <w:ilvl w:val="0"/>
          <w:numId w:val="12"/>
        </w:numPr>
        <w:tabs>
          <w:tab w:val="clear" w:pos="870"/>
          <w:tab w:val="num"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 xml:space="preserve">фирма нарықтың қандай сегментінде бәсекелі артықшылыққа қол жеткізіп, соның нәтижесінде, өз пайдасын бәсекелестер тарапынан болатын қауіп-қатерден қорғай алады? </w:t>
      </w:r>
    </w:p>
    <w:p w:rsidR="006E3326" w:rsidRPr="006E3326" w:rsidRDefault="006E3326" w:rsidP="006E3326">
      <w:pPr>
        <w:numPr>
          <w:ilvl w:val="0"/>
          <w:numId w:val="12"/>
        </w:numPr>
        <w:tabs>
          <w:tab w:val="clear" w:pos="870"/>
          <w:tab w:val="num"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фирма  қандай нарықтардан  шығуы қажет? Егер, фирма өзіне қажетті  пайданы, бәсекелестердің тұрақты тегеурініне байланысты, сол нарықта, қамтамасыз ете алмайтын болса...</w:t>
      </w:r>
    </w:p>
    <w:p w:rsidR="006E3326" w:rsidRPr="006E3326" w:rsidRDefault="006E3326" w:rsidP="006E3326">
      <w:pPr>
        <w:tabs>
          <w:tab w:val="num" w:pos="851"/>
        </w:tabs>
        <w:spacing w:after="0" w:line="240" w:lineRule="auto"/>
        <w:ind w:firstLine="567"/>
        <w:jc w:val="both"/>
        <w:rPr>
          <w:rFonts w:ascii="Times New Roman" w:hAnsi="Times New Roman" w:cs="Times New Roman"/>
          <w:sz w:val="28"/>
          <w:szCs w:val="28"/>
          <w:lang w:val="kk-KZ"/>
        </w:rPr>
      </w:pPr>
      <w:r w:rsidRPr="006E3326">
        <w:rPr>
          <w:rFonts w:ascii="Times New Roman" w:hAnsi="Times New Roman" w:cs="Times New Roman"/>
          <w:b/>
          <w:sz w:val="28"/>
          <w:szCs w:val="28"/>
          <w:lang w:val="kk-KZ"/>
        </w:rPr>
        <w:t xml:space="preserve">8. </w:t>
      </w:r>
      <w:r w:rsidRPr="006E3326">
        <w:rPr>
          <w:rFonts w:ascii="Times New Roman" w:hAnsi="Times New Roman" w:cs="Times New Roman"/>
          <w:b/>
          <w:i/>
          <w:sz w:val="28"/>
          <w:szCs w:val="28"/>
          <w:lang w:val="kk-KZ"/>
        </w:rPr>
        <w:t>Мемлекеттік реттеудің ықпалын бағалау.</w:t>
      </w:r>
      <w:r w:rsidRPr="006E3326">
        <w:rPr>
          <w:rFonts w:ascii="Times New Roman" w:hAnsi="Times New Roman" w:cs="Times New Roman"/>
          <w:sz w:val="28"/>
          <w:szCs w:val="28"/>
          <w:lang w:val="kk-KZ"/>
        </w:rPr>
        <w:t xml:space="preserve"> Ол, белгілі бір фирманың баға шешімін немесе баға стратегиясын жүзеге асыру барысында тікелей әсер ететін, экономиканы мемлекеттік басқару органдарының  мүмкін болатын, іс әрекеттерін болжамдау және ескеру болып табылады.</w:t>
      </w:r>
    </w:p>
    <w:p w:rsidR="006E3326" w:rsidRPr="006E3326" w:rsidRDefault="006E3326" w:rsidP="006E3326">
      <w:pPr>
        <w:tabs>
          <w:tab w:val="num" w:pos="851"/>
        </w:tabs>
        <w:spacing w:after="0" w:line="240" w:lineRule="auto"/>
        <w:ind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Бұл, төменде көрсетілген мәселелелердің шешімін табуды көздейді.</w:t>
      </w:r>
    </w:p>
    <w:p w:rsidR="006E3326" w:rsidRPr="006E3326" w:rsidRDefault="006E3326" w:rsidP="006E3326">
      <w:pPr>
        <w:numPr>
          <w:ilvl w:val="0"/>
          <w:numId w:val="13"/>
        </w:numPr>
        <w:tabs>
          <w:tab w:val="num"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lastRenderedPageBreak/>
        <w:t>мемлекет тарапынан бағаны реттеу фирманың баға өзгерісін жүзеге асыруына қалай ықпал етуі мүмкін?</w:t>
      </w:r>
    </w:p>
    <w:p w:rsidR="006E3326" w:rsidRPr="006E3326" w:rsidRDefault="006E3326" w:rsidP="006E3326">
      <w:pPr>
        <w:numPr>
          <w:ilvl w:val="0"/>
          <w:numId w:val="13"/>
        </w:numPr>
        <w:tabs>
          <w:tab w:val="num"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монополиялық жағдайларға ие нарық субъектілерін мемлекеттік реттеу фирманың шығындарының деңгейіне елеулі ықпал етеді ме? Қалай ықпал етеді?</w:t>
      </w:r>
    </w:p>
    <w:p w:rsidR="006E3326" w:rsidRPr="006E3326" w:rsidRDefault="006E3326" w:rsidP="006E3326">
      <w:pPr>
        <w:numPr>
          <w:ilvl w:val="0"/>
          <w:numId w:val="13"/>
        </w:numPr>
        <w:tabs>
          <w:tab w:val="num"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сыртқы сауданы мемлекеттік реттеуде өзгерістер болуы мүмкін бе, егер болса, ол  нарыққа келіп түсетін шет ел бәсекелестері тауарларының көлеміне және нарықтағы осы тауарлардың бағасына қалай әсер етеді?</w:t>
      </w:r>
    </w:p>
    <w:p w:rsidR="006E3326" w:rsidRPr="006E3326" w:rsidRDefault="006E3326" w:rsidP="006E3326">
      <w:pPr>
        <w:numPr>
          <w:ilvl w:val="0"/>
          <w:numId w:val="13"/>
        </w:numPr>
        <w:tabs>
          <w:tab w:val="num" w:pos="851"/>
        </w:tabs>
        <w:spacing w:after="0" w:line="240" w:lineRule="auto"/>
        <w:ind w:left="0"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мемлекеттің экономикалық саясаты фирма үшін мақсатты нарық сегментіндегі тұтынушылардың жағдайына әсер етуі мүмкін бе? Қалай әсер етуі мүмкін? және т.б.</w:t>
      </w:r>
    </w:p>
    <w:p w:rsidR="006E3326" w:rsidRPr="006E3326" w:rsidRDefault="006E3326" w:rsidP="006E3326">
      <w:pPr>
        <w:spacing w:after="0" w:line="240" w:lineRule="auto"/>
        <w:ind w:left="360" w:firstLine="567"/>
        <w:jc w:val="both"/>
        <w:rPr>
          <w:rFonts w:ascii="Times New Roman" w:hAnsi="Times New Roman" w:cs="Times New Roman"/>
          <w:sz w:val="28"/>
          <w:szCs w:val="28"/>
          <w:lang w:val="kk-KZ"/>
        </w:rPr>
      </w:pPr>
    </w:p>
    <w:p w:rsidR="006E3326" w:rsidRPr="006E3326" w:rsidRDefault="006E3326" w:rsidP="006E3326">
      <w:pPr>
        <w:spacing w:after="0" w:line="240" w:lineRule="auto"/>
        <w:ind w:firstLine="567"/>
        <w:jc w:val="both"/>
        <w:rPr>
          <w:rFonts w:ascii="Times New Roman" w:hAnsi="Times New Roman" w:cs="Times New Roman"/>
          <w:b/>
          <w:sz w:val="28"/>
          <w:szCs w:val="28"/>
          <w:lang w:val="kk-KZ"/>
        </w:rPr>
      </w:pPr>
      <w:r w:rsidRPr="006E3326">
        <w:rPr>
          <w:rFonts w:ascii="Times New Roman" w:hAnsi="Times New Roman" w:cs="Times New Roman"/>
          <w:b/>
          <w:sz w:val="28"/>
          <w:szCs w:val="28"/>
          <w:lang w:val="kk-KZ"/>
        </w:rPr>
        <w:t>III.</w:t>
      </w:r>
      <w:r w:rsidRPr="006E3326">
        <w:rPr>
          <w:rFonts w:ascii="Times New Roman" w:hAnsi="Times New Roman" w:cs="Times New Roman"/>
          <w:b/>
          <w:i/>
          <w:sz w:val="28"/>
          <w:szCs w:val="28"/>
          <w:lang w:val="kk-KZ"/>
        </w:rPr>
        <w:t xml:space="preserve"> </w:t>
      </w:r>
      <w:r w:rsidRPr="006E3326">
        <w:rPr>
          <w:rFonts w:ascii="Times New Roman" w:hAnsi="Times New Roman" w:cs="Times New Roman"/>
          <w:b/>
          <w:sz w:val="28"/>
          <w:szCs w:val="28"/>
          <w:lang w:val="kk-KZ"/>
        </w:rPr>
        <w:t>Стратегияны қалыптастыру</w:t>
      </w:r>
    </w:p>
    <w:p w:rsidR="006E3326" w:rsidRDefault="006E3326" w:rsidP="006E3326">
      <w:pPr>
        <w:spacing w:after="0" w:line="240" w:lineRule="auto"/>
        <w:ind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 xml:space="preserve">Жоғарыда аталған мәселелердің барлығының шешімін тапқаннан кейін, фирма үшін неғұрлым үйлесімді, бағалы, басқаларға қарағанда артықшылығы бар,  </w:t>
      </w:r>
      <w:r w:rsidRPr="006E3326">
        <w:rPr>
          <w:rFonts w:ascii="Times New Roman" w:hAnsi="Times New Roman" w:cs="Times New Roman"/>
          <w:spacing w:val="-3"/>
          <w:sz w:val="28"/>
          <w:szCs w:val="28"/>
          <w:lang w:val="kk-KZ"/>
        </w:rPr>
        <w:t xml:space="preserve">қорытынды баға стратегиясын </w:t>
      </w:r>
      <w:r w:rsidRPr="006E3326">
        <w:rPr>
          <w:rFonts w:ascii="Times New Roman" w:hAnsi="Times New Roman" w:cs="Times New Roman"/>
          <w:sz w:val="28"/>
          <w:szCs w:val="28"/>
          <w:lang w:val="kk-KZ"/>
        </w:rPr>
        <w:t>қалыптастыру жүзеге асырылады. Бұл, қолайлы баға стратегиясы,  ол келешектегі бизнесті басқару жоспары болып табылады.  Баға стратегиясын қалыптастыруда басқа фирмалардың стратегиясын, әдебиеттерде мамандар мен ғалымдар ұсынатын стратегияны және аталған фирманың өз тәжірибесінде жүзеге асырылған стратегияларды түп нұсқа ретінде қарастыруға болады. Бірақ, басқа тәжірибені қолма қол көшіріп алған жөн болмайды.  Белгілі бір салада қалыптасқан стратегияны басқа салаға толығымен көшіру тиімсіз, өйткені, әрбір салада қалыптасқан шығындар құрамы мен құрылымы, сатып алушылар әлде бәсекелестердің жағдайы әр түрлі деңгейде  ерекшеленеді.  Сондықтан, келесі элементтерден құралған, «тауар- фирма- бәсекелестер- сатып алушылар- мемлекет» (сурет 1)бірден-бір ерекше  қисындастырудың барлық ерекшеліктерін есепке ала отырып, өз фирмаңызға жеке, дербес стратегияны  қалыптастырғаныңыз жөн. Тек сонда ғана, баға стратегиясы негізінде қалыптасқан нақты баға жоғары деңгейдегі пайдалылықты қамтамасыз ете алуы мүмкін.</w:t>
      </w:r>
    </w:p>
    <w:p w:rsidR="006E3326" w:rsidRPr="006E3326" w:rsidRDefault="006E3326" w:rsidP="006E3326">
      <w:pPr>
        <w:spacing w:after="0" w:line="240" w:lineRule="auto"/>
        <w:ind w:firstLine="567"/>
        <w:jc w:val="both"/>
        <w:rPr>
          <w:rFonts w:ascii="Times New Roman" w:hAnsi="Times New Roman" w:cs="Times New Roman"/>
          <w:sz w:val="28"/>
          <w:szCs w:val="28"/>
          <w:lang w:val="kk-KZ"/>
        </w:rPr>
      </w:pPr>
    </w:p>
    <w:p w:rsidR="006E3326" w:rsidRPr="006E3326" w:rsidRDefault="006E3326" w:rsidP="006E3326">
      <w:pPr>
        <w:spacing w:after="0" w:line="240" w:lineRule="auto"/>
        <w:ind w:left="360" w:firstLine="567"/>
        <w:jc w:val="both"/>
        <w:rPr>
          <w:rFonts w:ascii="Times New Roman" w:hAnsi="Times New Roman" w:cs="Times New Roman"/>
          <w:sz w:val="28"/>
          <w:szCs w:val="28"/>
          <w:lang w:val="kk-KZ"/>
        </w:rPr>
      </w:pPr>
      <w:r w:rsidRPr="006E3326">
        <w:rPr>
          <w:rFonts w:ascii="Times New Roman" w:hAnsi="Times New Roman" w:cs="Times New Roman"/>
          <w:noProof/>
          <w:sz w:val="28"/>
          <w:szCs w:val="28"/>
        </w:rPr>
        <w:drawing>
          <wp:inline distT="0" distB="0" distL="0" distR="0">
            <wp:extent cx="4114800" cy="1857375"/>
            <wp:effectExtent l="0" t="0" r="0" b="0"/>
            <wp:docPr id="2" name="Схема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rsidR="006E3326" w:rsidRDefault="006E3326" w:rsidP="006E3326">
      <w:pPr>
        <w:spacing w:after="0" w:line="240" w:lineRule="auto"/>
        <w:ind w:firstLine="567"/>
        <w:jc w:val="both"/>
        <w:rPr>
          <w:rFonts w:ascii="Times New Roman" w:hAnsi="Times New Roman" w:cs="Times New Roman"/>
          <w:sz w:val="28"/>
          <w:szCs w:val="28"/>
          <w:lang w:val="kk-KZ"/>
        </w:rPr>
      </w:pPr>
    </w:p>
    <w:p w:rsidR="006E3326" w:rsidRPr="006E3326" w:rsidRDefault="006E3326" w:rsidP="006E3326">
      <w:pPr>
        <w:spacing w:after="0" w:line="240" w:lineRule="auto"/>
        <w:ind w:firstLine="567"/>
        <w:jc w:val="both"/>
        <w:rPr>
          <w:rFonts w:ascii="Times New Roman" w:hAnsi="Times New Roman" w:cs="Times New Roman"/>
          <w:sz w:val="28"/>
          <w:szCs w:val="28"/>
          <w:lang w:val="kk-KZ"/>
        </w:rPr>
      </w:pPr>
    </w:p>
    <w:p w:rsidR="006E3326" w:rsidRPr="006E3326" w:rsidRDefault="006E3326" w:rsidP="006E3326">
      <w:pPr>
        <w:spacing w:after="0" w:line="240" w:lineRule="auto"/>
        <w:ind w:firstLine="567"/>
        <w:jc w:val="both"/>
        <w:rPr>
          <w:rFonts w:ascii="Times New Roman" w:hAnsi="Times New Roman" w:cs="Times New Roman"/>
          <w:sz w:val="28"/>
          <w:szCs w:val="28"/>
          <w:lang w:val="kk-KZ"/>
        </w:rPr>
      </w:pPr>
      <w:r w:rsidRPr="006E3326">
        <w:rPr>
          <w:rFonts w:ascii="Times New Roman" w:hAnsi="Times New Roman" w:cs="Times New Roman"/>
          <w:sz w:val="28"/>
          <w:szCs w:val="28"/>
          <w:lang w:val="kk-KZ"/>
        </w:rPr>
        <w:t>Сурет 1. Бағаның факторлар әрекеттестігі негізінде қалыптасуы</w:t>
      </w:r>
    </w:p>
    <w:sectPr w:rsidR="006E3326" w:rsidRPr="006E3326" w:rsidSect="006E3326">
      <w:pgSz w:w="11906" w:h="16838"/>
      <w:pgMar w:top="1417" w:right="849"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4278" w:rsidRDefault="00B04278" w:rsidP="006E3326">
      <w:pPr>
        <w:spacing w:after="0" w:line="240" w:lineRule="auto"/>
      </w:pPr>
      <w:r>
        <w:separator/>
      </w:r>
    </w:p>
  </w:endnote>
  <w:endnote w:type="continuationSeparator" w:id="0">
    <w:p w:rsidR="00B04278" w:rsidRDefault="00B04278" w:rsidP="006E33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4278" w:rsidRDefault="00B04278" w:rsidP="006E3326">
      <w:pPr>
        <w:spacing w:after="0" w:line="240" w:lineRule="auto"/>
      </w:pPr>
      <w:r>
        <w:separator/>
      </w:r>
    </w:p>
  </w:footnote>
  <w:footnote w:type="continuationSeparator" w:id="0">
    <w:p w:rsidR="00B04278" w:rsidRDefault="00B04278" w:rsidP="006E332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55351"/>
    <w:multiLevelType w:val="hybridMultilevel"/>
    <w:tmpl w:val="43D46D4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2F81ADC"/>
    <w:multiLevelType w:val="hybridMultilevel"/>
    <w:tmpl w:val="2F342DEA"/>
    <w:lvl w:ilvl="0" w:tplc="04190001">
      <w:start w:val="1"/>
      <w:numFmt w:val="bullet"/>
      <w:lvlText w:val=""/>
      <w:lvlJc w:val="left"/>
      <w:pPr>
        <w:tabs>
          <w:tab w:val="num" w:pos="870"/>
        </w:tabs>
        <w:ind w:left="870" w:hanging="360"/>
      </w:pPr>
      <w:rPr>
        <w:rFonts w:ascii="Symbol" w:hAnsi="Symbol" w:hint="default"/>
      </w:rPr>
    </w:lvl>
    <w:lvl w:ilvl="1" w:tplc="04190003" w:tentative="1">
      <w:start w:val="1"/>
      <w:numFmt w:val="bullet"/>
      <w:lvlText w:val="o"/>
      <w:lvlJc w:val="left"/>
      <w:pPr>
        <w:tabs>
          <w:tab w:val="num" w:pos="1590"/>
        </w:tabs>
        <w:ind w:left="1590" w:hanging="360"/>
      </w:pPr>
      <w:rPr>
        <w:rFonts w:ascii="Courier New" w:hAnsi="Courier New" w:cs="Courier New" w:hint="default"/>
      </w:rPr>
    </w:lvl>
    <w:lvl w:ilvl="2" w:tplc="04190005" w:tentative="1">
      <w:start w:val="1"/>
      <w:numFmt w:val="bullet"/>
      <w:lvlText w:val=""/>
      <w:lvlJc w:val="left"/>
      <w:pPr>
        <w:tabs>
          <w:tab w:val="num" w:pos="2310"/>
        </w:tabs>
        <w:ind w:left="2310" w:hanging="360"/>
      </w:pPr>
      <w:rPr>
        <w:rFonts w:ascii="Wingdings" w:hAnsi="Wingdings" w:hint="default"/>
      </w:rPr>
    </w:lvl>
    <w:lvl w:ilvl="3" w:tplc="04190001" w:tentative="1">
      <w:start w:val="1"/>
      <w:numFmt w:val="bullet"/>
      <w:lvlText w:val=""/>
      <w:lvlJc w:val="left"/>
      <w:pPr>
        <w:tabs>
          <w:tab w:val="num" w:pos="3030"/>
        </w:tabs>
        <w:ind w:left="3030" w:hanging="360"/>
      </w:pPr>
      <w:rPr>
        <w:rFonts w:ascii="Symbol" w:hAnsi="Symbol" w:hint="default"/>
      </w:rPr>
    </w:lvl>
    <w:lvl w:ilvl="4" w:tplc="04190003" w:tentative="1">
      <w:start w:val="1"/>
      <w:numFmt w:val="bullet"/>
      <w:lvlText w:val="o"/>
      <w:lvlJc w:val="left"/>
      <w:pPr>
        <w:tabs>
          <w:tab w:val="num" w:pos="3750"/>
        </w:tabs>
        <w:ind w:left="3750" w:hanging="360"/>
      </w:pPr>
      <w:rPr>
        <w:rFonts w:ascii="Courier New" w:hAnsi="Courier New" w:cs="Courier New" w:hint="default"/>
      </w:rPr>
    </w:lvl>
    <w:lvl w:ilvl="5" w:tplc="04190005" w:tentative="1">
      <w:start w:val="1"/>
      <w:numFmt w:val="bullet"/>
      <w:lvlText w:val=""/>
      <w:lvlJc w:val="left"/>
      <w:pPr>
        <w:tabs>
          <w:tab w:val="num" w:pos="4470"/>
        </w:tabs>
        <w:ind w:left="4470" w:hanging="360"/>
      </w:pPr>
      <w:rPr>
        <w:rFonts w:ascii="Wingdings" w:hAnsi="Wingdings" w:hint="default"/>
      </w:rPr>
    </w:lvl>
    <w:lvl w:ilvl="6" w:tplc="04190001" w:tentative="1">
      <w:start w:val="1"/>
      <w:numFmt w:val="bullet"/>
      <w:lvlText w:val=""/>
      <w:lvlJc w:val="left"/>
      <w:pPr>
        <w:tabs>
          <w:tab w:val="num" w:pos="5190"/>
        </w:tabs>
        <w:ind w:left="5190" w:hanging="360"/>
      </w:pPr>
      <w:rPr>
        <w:rFonts w:ascii="Symbol" w:hAnsi="Symbol" w:hint="default"/>
      </w:rPr>
    </w:lvl>
    <w:lvl w:ilvl="7" w:tplc="04190003" w:tentative="1">
      <w:start w:val="1"/>
      <w:numFmt w:val="bullet"/>
      <w:lvlText w:val="o"/>
      <w:lvlJc w:val="left"/>
      <w:pPr>
        <w:tabs>
          <w:tab w:val="num" w:pos="5910"/>
        </w:tabs>
        <w:ind w:left="5910" w:hanging="360"/>
      </w:pPr>
      <w:rPr>
        <w:rFonts w:ascii="Courier New" w:hAnsi="Courier New" w:cs="Courier New" w:hint="default"/>
      </w:rPr>
    </w:lvl>
    <w:lvl w:ilvl="8" w:tplc="04190005" w:tentative="1">
      <w:start w:val="1"/>
      <w:numFmt w:val="bullet"/>
      <w:lvlText w:val=""/>
      <w:lvlJc w:val="left"/>
      <w:pPr>
        <w:tabs>
          <w:tab w:val="num" w:pos="6630"/>
        </w:tabs>
        <w:ind w:left="6630" w:hanging="360"/>
      </w:pPr>
      <w:rPr>
        <w:rFonts w:ascii="Wingdings" w:hAnsi="Wingdings" w:hint="default"/>
      </w:rPr>
    </w:lvl>
  </w:abstractNum>
  <w:abstractNum w:abstractNumId="2">
    <w:nsid w:val="05DC0A6B"/>
    <w:multiLevelType w:val="hybridMultilevel"/>
    <w:tmpl w:val="9B3E1DE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0C9F6F50"/>
    <w:multiLevelType w:val="hybridMultilevel"/>
    <w:tmpl w:val="226CCE9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124A5EA3"/>
    <w:multiLevelType w:val="hybridMultilevel"/>
    <w:tmpl w:val="B238BCB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1C8A0ED1"/>
    <w:multiLevelType w:val="hybridMultilevel"/>
    <w:tmpl w:val="594ADC0A"/>
    <w:lvl w:ilvl="0" w:tplc="04190001">
      <w:start w:val="1"/>
      <w:numFmt w:val="bullet"/>
      <w:lvlText w:val=""/>
      <w:lvlJc w:val="left"/>
      <w:pPr>
        <w:tabs>
          <w:tab w:val="num" w:pos="870"/>
        </w:tabs>
        <w:ind w:left="870" w:hanging="360"/>
      </w:pPr>
      <w:rPr>
        <w:rFonts w:ascii="Symbol" w:hAnsi="Symbol" w:hint="default"/>
      </w:rPr>
    </w:lvl>
    <w:lvl w:ilvl="1" w:tplc="04190003" w:tentative="1">
      <w:start w:val="1"/>
      <w:numFmt w:val="bullet"/>
      <w:lvlText w:val="o"/>
      <w:lvlJc w:val="left"/>
      <w:pPr>
        <w:tabs>
          <w:tab w:val="num" w:pos="1590"/>
        </w:tabs>
        <w:ind w:left="1590" w:hanging="360"/>
      </w:pPr>
      <w:rPr>
        <w:rFonts w:ascii="Courier New" w:hAnsi="Courier New" w:cs="Courier New" w:hint="default"/>
      </w:rPr>
    </w:lvl>
    <w:lvl w:ilvl="2" w:tplc="04190005" w:tentative="1">
      <w:start w:val="1"/>
      <w:numFmt w:val="bullet"/>
      <w:lvlText w:val=""/>
      <w:lvlJc w:val="left"/>
      <w:pPr>
        <w:tabs>
          <w:tab w:val="num" w:pos="2310"/>
        </w:tabs>
        <w:ind w:left="2310" w:hanging="360"/>
      </w:pPr>
      <w:rPr>
        <w:rFonts w:ascii="Wingdings" w:hAnsi="Wingdings" w:hint="default"/>
      </w:rPr>
    </w:lvl>
    <w:lvl w:ilvl="3" w:tplc="04190001" w:tentative="1">
      <w:start w:val="1"/>
      <w:numFmt w:val="bullet"/>
      <w:lvlText w:val=""/>
      <w:lvlJc w:val="left"/>
      <w:pPr>
        <w:tabs>
          <w:tab w:val="num" w:pos="3030"/>
        </w:tabs>
        <w:ind w:left="3030" w:hanging="360"/>
      </w:pPr>
      <w:rPr>
        <w:rFonts w:ascii="Symbol" w:hAnsi="Symbol" w:hint="default"/>
      </w:rPr>
    </w:lvl>
    <w:lvl w:ilvl="4" w:tplc="04190003" w:tentative="1">
      <w:start w:val="1"/>
      <w:numFmt w:val="bullet"/>
      <w:lvlText w:val="o"/>
      <w:lvlJc w:val="left"/>
      <w:pPr>
        <w:tabs>
          <w:tab w:val="num" w:pos="3750"/>
        </w:tabs>
        <w:ind w:left="3750" w:hanging="360"/>
      </w:pPr>
      <w:rPr>
        <w:rFonts w:ascii="Courier New" w:hAnsi="Courier New" w:cs="Courier New" w:hint="default"/>
      </w:rPr>
    </w:lvl>
    <w:lvl w:ilvl="5" w:tplc="04190005" w:tentative="1">
      <w:start w:val="1"/>
      <w:numFmt w:val="bullet"/>
      <w:lvlText w:val=""/>
      <w:lvlJc w:val="left"/>
      <w:pPr>
        <w:tabs>
          <w:tab w:val="num" w:pos="4470"/>
        </w:tabs>
        <w:ind w:left="4470" w:hanging="360"/>
      </w:pPr>
      <w:rPr>
        <w:rFonts w:ascii="Wingdings" w:hAnsi="Wingdings" w:hint="default"/>
      </w:rPr>
    </w:lvl>
    <w:lvl w:ilvl="6" w:tplc="04190001" w:tentative="1">
      <w:start w:val="1"/>
      <w:numFmt w:val="bullet"/>
      <w:lvlText w:val=""/>
      <w:lvlJc w:val="left"/>
      <w:pPr>
        <w:tabs>
          <w:tab w:val="num" w:pos="5190"/>
        </w:tabs>
        <w:ind w:left="5190" w:hanging="360"/>
      </w:pPr>
      <w:rPr>
        <w:rFonts w:ascii="Symbol" w:hAnsi="Symbol" w:hint="default"/>
      </w:rPr>
    </w:lvl>
    <w:lvl w:ilvl="7" w:tplc="04190003" w:tentative="1">
      <w:start w:val="1"/>
      <w:numFmt w:val="bullet"/>
      <w:lvlText w:val="o"/>
      <w:lvlJc w:val="left"/>
      <w:pPr>
        <w:tabs>
          <w:tab w:val="num" w:pos="5910"/>
        </w:tabs>
        <w:ind w:left="5910" w:hanging="360"/>
      </w:pPr>
      <w:rPr>
        <w:rFonts w:ascii="Courier New" w:hAnsi="Courier New" w:cs="Courier New" w:hint="default"/>
      </w:rPr>
    </w:lvl>
    <w:lvl w:ilvl="8" w:tplc="04190005" w:tentative="1">
      <w:start w:val="1"/>
      <w:numFmt w:val="bullet"/>
      <w:lvlText w:val=""/>
      <w:lvlJc w:val="left"/>
      <w:pPr>
        <w:tabs>
          <w:tab w:val="num" w:pos="6630"/>
        </w:tabs>
        <w:ind w:left="6630" w:hanging="360"/>
      </w:pPr>
      <w:rPr>
        <w:rFonts w:ascii="Wingdings" w:hAnsi="Wingdings" w:hint="default"/>
      </w:rPr>
    </w:lvl>
  </w:abstractNum>
  <w:abstractNum w:abstractNumId="6">
    <w:nsid w:val="231C2E52"/>
    <w:multiLevelType w:val="hybridMultilevel"/>
    <w:tmpl w:val="026C390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2451037C"/>
    <w:multiLevelType w:val="hybridMultilevel"/>
    <w:tmpl w:val="DB68D0EA"/>
    <w:lvl w:ilvl="0" w:tplc="AB5A1ABE">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388E590E"/>
    <w:multiLevelType w:val="hybridMultilevel"/>
    <w:tmpl w:val="5D7E21B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3C9732C3"/>
    <w:multiLevelType w:val="hybridMultilevel"/>
    <w:tmpl w:val="4C7EE5E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44066F1A"/>
    <w:multiLevelType w:val="hybridMultilevel"/>
    <w:tmpl w:val="1F4E35C4"/>
    <w:lvl w:ilvl="0" w:tplc="AB5A1ABE">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4DF563B3"/>
    <w:multiLevelType w:val="hybridMultilevel"/>
    <w:tmpl w:val="8CBC9CB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587967D3"/>
    <w:multiLevelType w:val="hybridMultilevel"/>
    <w:tmpl w:val="A0C0734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60543FDA"/>
    <w:multiLevelType w:val="hybridMultilevel"/>
    <w:tmpl w:val="992E15C8"/>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4">
    <w:nsid w:val="62413467"/>
    <w:multiLevelType w:val="hybridMultilevel"/>
    <w:tmpl w:val="0706F53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669070C5"/>
    <w:multiLevelType w:val="hybridMultilevel"/>
    <w:tmpl w:val="163672B0"/>
    <w:lvl w:ilvl="0" w:tplc="AB5A1ABE">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676F6601"/>
    <w:multiLevelType w:val="multilevel"/>
    <w:tmpl w:val="3E107F66"/>
    <w:lvl w:ilvl="0">
      <w:start w:val="1"/>
      <w:numFmt w:val="decimal"/>
      <w:lvlText w:val="%1."/>
      <w:lvlJc w:val="left"/>
      <w:pPr>
        <w:tabs>
          <w:tab w:val="num" w:pos="720"/>
        </w:tabs>
        <w:ind w:left="720" w:hanging="360"/>
      </w:pPr>
    </w:lvl>
    <w:lvl w:ilvl="1">
      <w:start w:val="1"/>
      <w:numFmt w:val="decimal"/>
      <w:isLgl/>
      <w:lvlText w:val="%1.%2"/>
      <w:lvlJc w:val="left"/>
      <w:pPr>
        <w:ind w:left="735" w:hanging="37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7">
    <w:nsid w:val="714521CF"/>
    <w:multiLevelType w:val="hybridMultilevel"/>
    <w:tmpl w:val="85629F5A"/>
    <w:lvl w:ilvl="0" w:tplc="AB5A1ABE">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7B1F37CE"/>
    <w:multiLevelType w:val="hybridMultilevel"/>
    <w:tmpl w:val="7FB00ED6"/>
    <w:lvl w:ilvl="0" w:tplc="0419000F">
      <w:start w:val="1"/>
      <w:numFmt w:val="decimal"/>
      <w:lvlText w:val="%1."/>
      <w:lvlJc w:val="left"/>
      <w:pPr>
        <w:tabs>
          <w:tab w:val="num" w:pos="720"/>
        </w:tabs>
        <w:ind w:left="720" w:hanging="360"/>
      </w:pPr>
      <w:rPr>
        <w:rFonts w:hint="default"/>
      </w:r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7D0F0960"/>
    <w:multiLevelType w:val="hybridMultilevel"/>
    <w:tmpl w:val="CCEE7BE6"/>
    <w:lvl w:ilvl="0" w:tplc="AB5A1ABE">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2"/>
  </w:num>
  <w:num w:numId="3">
    <w:abstractNumId w:val="16"/>
  </w:num>
  <w:num w:numId="4">
    <w:abstractNumId w:val="18"/>
  </w:num>
  <w:num w:numId="5">
    <w:abstractNumId w:val="13"/>
  </w:num>
  <w:num w:numId="6">
    <w:abstractNumId w:val="12"/>
  </w:num>
  <w:num w:numId="7">
    <w:abstractNumId w:val="8"/>
  </w:num>
  <w:num w:numId="8">
    <w:abstractNumId w:val="3"/>
  </w:num>
  <w:num w:numId="9">
    <w:abstractNumId w:val="14"/>
  </w:num>
  <w:num w:numId="10">
    <w:abstractNumId w:val="9"/>
  </w:num>
  <w:num w:numId="11">
    <w:abstractNumId w:val="5"/>
  </w:num>
  <w:num w:numId="12">
    <w:abstractNumId w:val="1"/>
  </w:num>
  <w:num w:numId="13">
    <w:abstractNumId w:val="4"/>
  </w:num>
  <w:num w:numId="14">
    <w:abstractNumId w:val="11"/>
  </w:num>
  <w:num w:numId="15">
    <w:abstractNumId w:val="6"/>
  </w:num>
  <w:num w:numId="16">
    <w:abstractNumId w:val="7"/>
  </w:num>
  <w:num w:numId="17">
    <w:abstractNumId w:val="17"/>
  </w:num>
  <w:num w:numId="18">
    <w:abstractNumId w:val="15"/>
  </w:num>
  <w:num w:numId="19">
    <w:abstractNumId w:val="19"/>
  </w:num>
  <w:num w:numId="2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6E3326"/>
    <w:rsid w:val="006E3326"/>
    <w:rsid w:val="00936528"/>
    <w:rsid w:val="009C4444"/>
    <w:rsid w:val="00B04278"/>
    <w:rsid w:val="00D010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E332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E3326"/>
    <w:rPr>
      <w:rFonts w:ascii="Tahoma" w:hAnsi="Tahoma" w:cs="Tahoma"/>
      <w:sz w:val="16"/>
      <w:szCs w:val="16"/>
    </w:rPr>
  </w:style>
  <w:style w:type="paragraph" w:styleId="a5">
    <w:name w:val="header"/>
    <w:basedOn w:val="a"/>
    <w:link w:val="a6"/>
    <w:uiPriority w:val="99"/>
    <w:semiHidden/>
    <w:unhideWhenUsed/>
    <w:rsid w:val="006E3326"/>
    <w:pPr>
      <w:tabs>
        <w:tab w:val="center" w:pos="4536"/>
        <w:tab w:val="right" w:pos="9072"/>
      </w:tabs>
      <w:spacing w:after="0" w:line="240" w:lineRule="auto"/>
    </w:pPr>
  </w:style>
  <w:style w:type="character" w:customStyle="1" w:styleId="a6">
    <w:name w:val="Верхний колонтитул Знак"/>
    <w:basedOn w:val="a0"/>
    <w:link w:val="a5"/>
    <w:uiPriority w:val="99"/>
    <w:semiHidden/>
    <w:rsid w:val="006E3326"/>
  </w:style>
  <w:style w:type="paragraph" w:styleId="a7">
    <w:name w:val="footer"/>
    <w:basedOn w:val="a"/>
    <w:link w:val="a8"/>
    <w:uiPriority w:val="99"/>
    <w:semiHidden/>
    <w:unhideWhenUsed/>
    <w:rsid w:val="006E3326"/>
    <w:pPr>
      <w:tabs>
        <w:tab w:val="center" w:pos="4536"/>
        <w:tab w:val="right" w:pos="9072"/>
      </w:tabs>
      <w:spacing w:after="0" w:line="240" w:lineRule="auto"/>
    </w:pPr>
  </w:style>
  <w:style w:type="character" w:customStyle="1" w:styleId="a8">
    <w:name w:val="Нижний колонтитул Знак"/>
    <w:basedOn w:val="a0"/>
    <w:link w:val="a7"/>
    <w:uiPriority w:val="99"/>
    <w:semiHidden/>
    <w:rsid w:val="006E332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microsoft.com/office/2007/relationships/diagramDrawing" Target="diagrams/drawing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diagramColors" Target="diagrams/colors1.xml"/><Relationship Id="rId5" Type="http://schemas.openxmlformats.org/officeDocument/2006/relationships/webSettings" Target="webSettings.xml"/><Relationship Id="rId10" Type="http://schemas.openxmlformats.org/officeDocument/2006/relationships/diagramQuickStyle" Target="diagrams/quickStyle1.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EB89FA1-DA70-445B-833A-AF12AB3E9CCA}" type="doc">
      <dgm:prSet loTypeId="urn:microsoft.com/office/officeart/2005/8/layout/radial1" loCatId="relationship" qsTypeId="urn:microsoft.com/office/officeart/2005/8/quickstyle/simple1" qsCatId="simple" csTypeId="urn:microsoft.com/office/officeart/2005/8/colors/accent1_2" csCatId="accent1"/>
      <dgm:spPr/>
    </dgm:pt>
    <dgm:pt modelId="{3B6F23AD-3756-4AAD-8CD9-14573B1D1FDD}">
      <dgm:prSet/>
      <dgm:spPr/>
      <dgm:t>
        <a:bodyPr/>
        <a:lstStyle/>
        <a:p>
          <a:pPr marR="0" algn="ctr" rtl="0"/>
          <a:r>
            <a:rPr lang="kk-KZ" baseline="0" smtClean="0">
              <a:latin typeface="Calibri"/>
            </a:rPr>
            <a:t>Баға</a:t>
          </a:r>
          <a:endParaRPr lang="ru-RU" smtClean="0"/>
        </a:p>
      </dgm:t>
    </dgm:pt>
    <dgm:pt modelId="{43CC3188-3FB1-4C97-ACE2-D07634E34E05}" type="parTrans" cxnId="{D1DD22E8-8F34-4DD1-9668-C96DF042C3FF}">
      <dgm:prSet/>
      <dgm:spPr/>
      <dgm:t>
        <a:bodyPr/>
        <a:lstStyle/>
        <a:p>
          <a:endParaRPr lang="ru-RU"/>
        </a:p>
      </dgm:t>
    </dgm:pt>
    <dgm:pt modelId="{F08ADA0E-E57E-486B-814B-8039F4A9FD57}" type="sibTrans" cxnId="{D1DD22E8-8F34-4DD1-9668-C96DF042C3FF}">
      <dgm:prSet/>
      <dgm:spPr/>
      <dgm:t>
        <a:bodyPr/>
        <a:lstStyle/>
        <a:p>
          <a:endParaRPr lang="ru-RU"/>
        </a:p>
      </dgm:t>
    </dgm:pt>
    <dgm:pt modelId="{C4FB5E13-91DA-49CE-92C2-EC015643F5A3}">
      <dgm:prSet/>
      <dgm:spPr/>
      <dgm:t>
        <a:bodyPr/>
        <a:lstStyle/>
        <a:p>
          <a:pPr marR="0" algn="ctr" rtl="0"/>
          <a:r>
            <a:rPr lang="kk-KZ" baseline="0" smtClean="0">
              <a:latin typeface="Calibri"/>
            </a:rPr>
            <a:t>Тауар</a:t>
          </a:r>
          <a:endParaRPr lang="ru-RU" smtClean="0"/>
        </a:p>
      </dgm:t>
    </dgm:pt>
    <dgm:pt modelId="{762966F9-0AEB-43CB-B24B-94E0F77C2FE1}" type="parTrans" cxnId="{7E4C7BD3-38CD-4B7C-BA0B-9FB561491EE2}">
      <dgm:prSet/>
      <dgm:spPr/>
      <dgm:t>
        <a:bodyPr/>
        <a:lstStyle/>
        <a:p>
          <a:endParaRPr lang="ru-RU"/>
        </a:p>
      </dgm:t>
    </dgm:pt>
    <dgm:pt modelId="{6996770E-2DEC-4C85-87EE-179991CF157F}" type="sibTrans" cxnId="{7E4C7BD3-38CD-4B7C-BA0B-9FB561491EE2}">
      <dgm:prSet/>
      <dgm:spPr/>
      <dgm:t>
        <a:bodyPr/>
        <a:lstStyle/>
        <a:p>
          <a:endParaRPr lang="ru-RU"/>
        </a:p>
      </dgm:t>
    </dgm:pt>
    <dgm:pt modelId="{B63CB2E5-DCB2-490A-9BC6-C95780DCFB7E}">
      <dgm:prSet/>
      <dgm:spPr/>
      <dgm:t>
        <a:bodyPr/>
        <a:lstStyle/>
        <a:p>
          <a:pPr marR="0" algn="ctr" rtl="0"/>
          <a:r>
            <a:rPr lang="kk-KZ" baseline="0" smtClean="0">
              <a:latin typeface="Calibri"/>
            </a:rPr>
            <a:t>Мемлекет</a:t>
          </a:r>
          <a:endParaRPr lang="ru-RU" smtClean="0"/>
        </a:p>
      </dgm:t>
    </dgm:pt>
    <dgm:pt modelId="{D03397F8-6C73-44DE-A653-0332A3DE4679}" type="parTrans" cxnId="{BCA35648-239C-4E03-9EFB-A435B203D94C}">
      <dgm:prSet/>
      <dgm:spPr/>
      <dgm:t>
        <a:bodyPr/>
        <a:lstStyle/>
        <a:p>
          <a:endParaRPr lang="ru-RU"/>
        </a:p>
      </dgm:t>
    </dgm:pt>
    <dgm:pt modelId="{CA561BE4-F29D-4EB4-B573-87C1B8B742DC}" type="sibTrans" cxnId="{BCA35648-239C-4E03-9EFB-A435B203D94C}">
      <dgm:prSet/>
      <dgm:spPr/>
      <dgm:t>
        <a:bodyPr/>
        <a:lstStyle/>
        <a:p>
          <a:endParaRPr lang="ru-RU"/>
        </a:p>
      </dgm:t>
    </dgm:pt>
    <dgm:pt modelId="{A85D1E9B-245F-432F-B289-093A6A1AC057}">
      <dgm:prSet/>
      <dgm:spPr/>
      <dgm:t>
        <a:bodyPr/>
        <a:lstStyle/>
        <a:p>
          <a:pPr marR="0" algn="ctr" rtl="0"/>
          <a:r>
            <a:rPr lang="kk-KZ" baseline="0" smtClean="0">
              <a:latin typeface="Calibri"/>
            </a:rPr>
            <a:t>Сатып алушылар</a:t>
          </a:r>
          <a:endParaRPr lang="ru-RU" smtClean="0"/>
        </a:p>
      </dgm:t>
    </dgm:pt>
    <dgm:pt modelId="{A476B4C0-A4B5-4E15-BF61-656096024585}" type="parTrans" cxnId="{138D810D-0FB2-4C34-A088-44FC780C25C9}">
      <dgm:prSet/>
      <dgm:spPr/>
      <dgm:t>
        <a:bodyPr/>
        <a:lstStyle/>
        <a:p>
          <a:endParaRPr lang="ru-RU"/>
        </a:p>
      </dgm:t>
    </dgm:pt>
    <dgm:pt modelId="{6F80BF7C-02EB-48FB-85CC-6952D5B5D684}" type="sibTrans" cxnId="{138D810D-0FB2-4C34-A088-44FC780C25C9}">
      <dgm:prSet/>
      <dgm:spPr/>
      <dgm:t>
        <a:bodyPr/>
        <a:lstStyle/>
        <a:p>
          <a:endParaRPr lang="ru-RU"/>
        </a:p>
      </dgm:t>
    </dgm:pt>
    <dgm:pt modelId="{C9817706-7E63-4737-A4A2-467AEF682AD1}">
      <dgm:prSet/>
      <dgm:spPr/>
      <dgm:t>
        <a:bodyPr/>
        <a:lstStyle/>
        <a:p>
          <a:pPr marR="0" algn="ctr" rtl="0"/>
          <a:endParaRPr lang="kk-KZ" baseline="0" smtClean="0">
            <a:latin typeface="Times New Roman"/>
          </a:endParaRPr>
        </a:p>
        <a:p>
          <a:pPr marR="0" algn="ctr" rtl="0"/>
          <a:r>
            <a:rPr lang="kk-KZ" baseline="0" smtClean="0">
              <a:latin typeface="Calibri"/>
            </a:rPr>
            <a:t>Бәсеке-лестер</a:t>
          </a:r>
          <a:endParaRPr lang="ru-RU" smtClean="0"/>
        </a:p>
      </dgm:t>
    </dgm:pt>
    <dgm:pt modelId="{0B0500CB-EC16-4F18-B732-46CF52ADB14C}" type="parTrans" cxnId="{4B7D7326-1AC6-434E-BFAA-97CFD3F01416}">
      <dgm:prSet/>
      <dgm:spPr/>
      <dgm:t>
        <a:bodyPr/>
        <a:lstStyle/>
        <a:p>
          <a:endParaRPr lang="ru-RU"/>
        </a:p>
      </dgm:t>
    </dgm:pt>
    <dgm:pt modelId="{2ED515F1-B0E7-45D5-892C-DC349F0A0052}" type="sibTrans" cxnId="{4B7D7326-1AC6-434E-BFAA-97CFD3F01416}">
      <dgm:prSet/>
      <dgm:spPr/>
      <dgm:t>
        <a:bodyPr/>
        <a:lstStyle/>
        <a:p>
          <a:endParaRPr lang="ru-RU"/>
        </a:p>
      </dgm:t>
    </dgm:pt>
    <dgm:pt modelId="{13232AFA-C7DD-433C-AFD3-778CD244FECF}">
      <dgm:prSet/>
      <dgm:spPr/>
      <dgm:t>
        <a:bodyPr/>
        <a:lstStyle/>
        <a:p>
          <a:pPr marR="0" algn="ctr" rtl="0"/>
          <a:r>
            <a:rPr lang="kk-KZ" baseline="0" smtClean="0">
              <a:latin typeface="Calibri"/>
            </a:rPr>
            <a:t>Фирма</a:t>
          </a:r>
          <a:endParaRPr lang="ru-RU" smtClean="0"/>
        </a:p>
      </dgm:t>
    </dgm:pt>
    <dgm:pt modelId="{F048DE09-26F3-40F9-8762-1D07CED45971}" type="parTrans" cxnId="{A7874171-798B-4A82-BD1A-DC4F8A4DCBCD}">
      <dgm:prSet/>
      <dgm:spPr/>
      <dgm:t>
        <a:bodyPr/>
        <a:lstStyle/>
        <a:p>
          <a:endParaRPr lang="ru-RU"/>
        </a:p>
      </dgm:t>
    </dgm:pt>
    <dgm:pt modelId="{5436AA2C-8B57-4FC8-B3DA-5F7378B62D5A}" type="sibTrans" cxnId="{A7874171-798B-4A82-BD1A-DC4F8A4DCBCD}">
      <dgm:prSet/>
      <dgm:spPr/>
      <dgm:t>
        <a:bodyPr/>
        <a:lstStyle/>
        <a:p>
          <a:endParaRPr lang="ru-RU"/>
        </a:p>
      </dgm:t>
    </dgm:pt>
    <dgm:pt modelId="{8852284C-E22A-4937-BD6A-88E92CD2C496}" type="pres">
      <dgm:prSet presAssocID="{7EB89FA1-DA70-445B-833A-AF12AB3E9CCA}" presName="cycle" presStyleCnt="0">
        <dgm:presLayoutVars>
          <dgm:chMax val="1"/>
          <dgm:dir/>
          <dgm:animLvl val="ctr"/>
          <dgm:resizeHandles val="exact"/>
        </dgm:presLayoutVars>
      </dgm:prSet>
      <dgm:spPr/>
    </dgm:pt>
    <dgm:pt modelId="{F7D49D23-862B-410B-A212-86DABDB62ECC}" type="pres">
      <dgm:prSet presAssocID="{3B6F23AD-3756-4AAD-8CD9-14573B1D1FDD}" presName="centerShape" presStyleLbl="node0" presStyleIdx="0" presStyleCnt="1"/>
      <dgm:spPr/>
      <dgm:t>
        <a:bodyPr/>
        <a:lstStyle/>
        <a:p>
          <a:endParaRPr lang="ru-RU"/>
        </a:p>
      </dgm:t>
    </dgm:pt>
    <dgm:pt modelId="{115820CF-E67C-445E-A943-2ECB1D2E2E41}" type="pres">
      <dgm:prSet presAssocID="{762966F9-0AEB-43CB-B24B-94E0F77C2FE1}" presName="Name9" presStyleLbl="parChTrans1D2" presStyleIdx="0" presStyleCnt="5"/>
      <dgm:spPr/>
      <dgm:t>
        <a:bodyPr/>
        <a:lstStyle/>
        <a:p>
          <a:endParaRPr lang="ru-RU"/>
        </a:p>
      </dgm:t>
    </dgm:pt>
    <dgm:pt modelId="{E57FA9DD-7BD2-4E5F-842B-0889A472F7A7}" type="pres">
      <dgm:prSet presAssocID="{762966F9-0AEB-43CB-B24B-94E0F77C2FE1}" presName="connTx" presStyleLbl="parChTrans1D2" presStyleIdx="0" presStyleCnt="5"/>
      <dgm:spPr/>
      <dgm:t>
        <a:bodyPr/>
        <a:lstStyle/>
        <a:p>
          <a:endParaRPr lang="ru-RU"/>
        </a:p>
      </dgm:t>
    </dgm:pt>
    <dgm:pt modelId="{3A1DD396-255E-4A4D-9706-739F23C3E3EF}" type="pres">
      <dgm:prSet presAssocID="{C4FB5E13-91DA-49CE-92C2-EC015643F5A3}" presName="node" presStyleLbl="node1" presStyleIdx="0" presStyleCnt="5">
        <dgm:presLayoutVars>
          <dgm:bulletEnabled val="1"/>
        </dgm:presLayoutVars>
      </dgm:prSet>
      <dgm:spPr/>
      <dgm:t>
        <a:bodyPr/>
        <a:lstStyle/>
        <a:p>
          <a:endParaRPr lang="ru-RU"/>
        </a:p>
      </dgm:t>
    </dgm:pt>
    <dgm:pt modelId="{37A8E6A1-CEC9-4B64-8220-04CFEE26F34B}" type="pres">
      <dgm:prSet presAssocID="{D03397F8-6C73-44DE-A653-0332A3DE4679}" presName="Name9" presStyleLbl="parChTrans1D2" presStyleIdx="1" presStyleCnt="5"/>
      <dgm:spPr/>
      <dgm:t>
        <a:bodyPr/>
        <a:lstStyle/>
        <a:p>
          <a:endParaRPr lang="ru-RU"/>
        </a:p>
      </dgm:t>
    </dgm:pt>
    <dgm:pt modelId="{34C04C53-6F24-4A85-8CFB-B6FC660B0FC7}" type="pres">
      <dgm:prSet presAssocID="{D03397F8-6C73-44DE-A653-0332A3DE4679}" presName="connTx" presStyleLbl="parChTrans1D2" presStyleIdx="1" presStyleCnt="5"/>
      <dgm:spPr/>
      <dgm:t>
        <a:bodyPr/>
        <a:lstStyle/>
        <a:p>
          <a:endParaRPr lang="ru-RU"/>
        </a:p>
      </dgm:t>
    </dgm:pt>
    <dgm:pt modelId="{2AAD0B46-EF42-4D73-8D75-637A4E95E9C6}" type="pres">
      <dgm:prSet presAssocID="{B63CB2E5-DCB2-490A-9BC6-C95780DCFB7E}" presName="node" presStyleLbl="node1" presStyleIdx="1" presStyleCnt="5">
        <dgm:presLayoutVars>
          <dgm:bulletEnabled val="1"/>
        </dgm:presLayoutVars>
      </dgm:prSet>
      <dgm:spPr/>
      <dgm:t>
        <a:bodyPr/>
        <a:lstStyle/>
        <a:p>
          <a:endParaRPr lang="ru-RU"/>
        </a:p>
      </dgm:t>
    </dgm:pt>
    <dgm:pt modelId="{4902F99F-8E36-40D8-BAE8-6886D8696EF9}" type="pres">
      <dgm:prSet presAssocID="{A476B4C0-A4B5-4E15-BF61-656096024585}" presName="Name9" presStyleLbl="parChTrans1D2" presStyleIdx="2" presStyleCnt="5"/>
      <dgm:spPr/>
      <dgm:t>
        <a:bodyPr/>
        <a:lstStyle/>
        <a:p>
          <a:endParaRPr lang="ru-RU"/>
        </a:p>
      </dgm:t>
    </dgm:pt>
    <dgm:pt modelId="{542E61D5-42ED-4F55-9FCC-C0BE85E2CC57}" type="pres">
      <dgm:prSet presAssocID="{A476B4C0-A4B5-4E15-BF61-656096024585}" presName="connTx" presStyleLbl="parChTrans1D2" presStyleIdx="2" presStyleCnt="5"/>
      <dgm:spPr/>
      <dgm:t>
        <a:bodyPr/>
        <a:lstStyle/>
        <a:p>
          <a:endParaRPr lang="ru-RU"/>
        </a:p>
      </dgm:t>
    </dgm:pt>
    <dgm:pt modelId="{AFD16608-B6ED-48F6-82E1-10D2D2E38E52}" type="pres">
      <dgm:prSet presAssocID="{A85D1E9B-245F-432F-B289-093A6A1AC057}" presName="node" presStyleLbl="node1" presStyleIdx="2" presStyleCnt="5">
        <dgm:presLayoutVars>
          <dgm:bulletEnabled val="1"/>
        </dgm:presLayoutVars>
      </dgm:prSet>
      <dgm:spPr/>
      <dgm:t>
        <a:bodyPr/>
        <a:lstStyle/>
        <a:p>
          <a:endParaRPr lang="ru-RU"/>
        </a:p>
      </dgm:t>
    </dgm:pt>
    <dgm:pt modelId="{9C7D10FF-CD76-486A-ABF9-CAA9CCDCCFD6}" type="pres">
      <dgm:prSet presAssocID="{0B0500CB-EC16-4F18-B732-46CF52ADB14C}" presName="Name9" presStyleLbl="parChTrans1D2" presStyleIdx="3" presStyleCnt="5"/>
      <dgm:spPr/>
      <dgm:t>
        <a:bodyPr/>
        <a:lstStyle/>
        <a:p>
          <a:endParaRPr lang="ru-RU"/>
        </a:p>
      </dgm:t>
    </dgm:pt>
    <dgm:pt modelId="{7B762123-DE69-40AF-9740-1C09321C31E0}" type="pres">
      <dgm:prSet presAssocID="{0B0500CB-EC16-4F18-B732-46CF52ADB14C}" presName="connTx" presStyleLbl="parChTrans1D2" presStyleIdx="3" presStyleCnt="5"/>
      <dgm:spPr/>
      <dgm:t>
        <a:bodyPr/>
        <a:lstStyle/>
        <a:p>
          <a:endParaRPr lang="ru-RU"/>
        </a:p>
      </dgm:t>
    </dgm:pt>
    <dgm:pt modelId="{EF3C522D-CA33-4155-9D03-7096FA01B8E9}" type="pres">
      <dgm:prSet presAssocID="{C9817706-7E63-4737-A4A2-467AEF682AD1}" presName="node" presStyleLbl="node1" presStyleIdx="3" presStyleCnt="5">
        <dgm:presLayoutVars>
          <dgm:bulletEnabled val="1"/>
        </dgm:presLayoutVars>
      </dgm:prSet>
      <dgm:spPr/>
      <dgm:t>
        <a:bodyPr/>
        <a:lstStyle/>
        <a:p>
          <a:endParaRPr lang="ru-RU"/>
        </a:p>
      </dgm:t>
    </dgm:pt>
    <dgm:pt modelId="{323E5931-F5DF-4FE7-B0C7-9CB017146BB3}" type="pres">
      <dgm:prSet presAssocID="{F048DE09-26F3-40F9-8762-1D07CED45971}" presName="Name9" presStyleLbl="parChTrans1D2" presStyleIdx="4" presStyleCnt="5"/>
      <dgm:spPr/>
      <dgm:t>
        <a:bodyPr/>
        <a:lstStyle/>
        <a:p>
          <a:endParaRPr lang="ru-RU"/>
        </a:p>
      </dgm:t>
    </dgm:pt>
    <dgm:pt modelId="{636BFF59-FD59-4495-BD25-CD98992A1FD5}" type="pres">
      <dgm:prSet presAssocID="{F048DE09-26F3-40F9-8762-1D07CED45971}" presName="connTx" presStyleLbl="parChTrans1D2" presStyleIdx="4" presStyleCnt="5"/>
      <dgm:spPr/>
      <dgm:t>
        <a:bodyPr/>
        <a:lstStyle/>
        <a:p>
          <a:endParaRPr lang="ru-RU"/>
        </a:p>
      </dgm:t>
    </dgm:pt>
    <dgm:pt modelId="{01C993F1-7AA4-447E-8B51-D8370EDDD8B8}" type="pres">
      <dgm:prSet presAssocID="{13232AFA-C7DD-433C-AFD3-778CD244FECF}" presName="node" presStyleLbl="node1" presStyleIdx="4" presStyleCnt="5">
        <dgm:presLayoutVars>
          <dgm:bulletEnabled val="1"/>
        </dgm:presLayoutVars>
      </dgm:prSet>
      <dgm:spPr/>
      <dgm:t>
        <a:bodyPr/>
        <a:lstStyle/>
        <a:p>
          <a:endParaRPr lang="ru-RU"/>
        </a:p>
      </dgm:t>
    </dgm:pt>
  </dgm:ptLst>
  <dgm:cxnLst>
    <dgm:cxn modelId="{90F82F27-942E-44D3-BA21-92F9D07EC95B}" type="presOf" srcId="{762966F9-0AEB-43CB-B24B-94E0F77C2FE1}" destId="{E57FA9DD-7BD2-4E5F-842B-0889A472F7A7}" srcOrd="1" destOrd="0" presId="urn:microsoft.com/office/officeart/2005/8/layout/radial1"/>
    <dgm:cxn modelId="{29EF7378-6FB7-40ED-9FFD-24BB1DF7C3AB}" type="presOf" srcId="{C9817706-7E63-4737-A4A2-467AEF682AD1}" destId="{EF3C522D-CA33-4155-9D03-7096FA01B8E9}" srcOrd="0" destOrd="0" presId="urn:microsoft.com/office/officeart/2005/8/layout/radial1"/>
    <dgm:cxn modelId="{9AFF137D-DFC6-4A24-B020-5876D3AFC169}" type="presOf" srcId="{762966F9-0AEB-43CB-B24B-94E0F77C2FE1}" destId="{115820CF-E67C-445E-A943-2ECB1D2E2E41}" srcOrd="0" destOrd="0" presId="urn:microsoft.com/office/officeart/2005/8/layout/radial1"/>
    <dgm:cxn modelId="{0588A27D-6D1B-4CEA-B9BB-07B918F7363E}" type="presOf" srcId="{0B0500CB-EC16-4F18-B732-46CF52ADB14C}" destId="{9C7D10FF-CD76-486A-ABF9-CAA9CCDCCFD6}" srcOrd="0" destOrd="0" presId="urn:microsoft.com/office/officeart/2005/8/layout/radial1"/>
    <dgm:cxn modelId="{A7874171-798B-4A82-BD1A-DC4F8A4DCBCD}" srcId="{3B6F23AD-3756-4AAD-8CD9-14573B1D1FDD}" destId="{13232AFA-C7DD-433C-AFD3-778CD244FECF}" srcOrd="4" destOrd="0" parTransId="{F048DE09-26F3-40F9-8762-1D07CED45971}" sibTransId="{5436AA2C-8B57-4FC8-B3DA-5F7378B62D5A}"/>
    <dgm:cxn modelId="{CFBD2BB1-8AB0-4F32-BC2C-BE865257A892}" type="presOf" srcId="{F048DE09-26F3-40F9-8762-1D07CED45971}" destId="{323E5931-F5DF-4FE7-B0C7-9CB017146BB3}" srcOrd="0" destOrd="0" presId="urn:microsoft.com/office/officeart/2005/8/layout/radial1"/>
    <dgm:cxn modelId="{4B7D7326-1AC6-434E-BFAA-97CFD3F01416}" srcId="{3B6F23AD-3756-4AAD-8CD9-14573B1D1FDD}" destId="{C9817706-7E63-4737-A4A2-467AEF682AD1}" srcOrd="3" destOrd="0" parTransId="{0B0500CB-EC16-4F18-B732-46CF52ADB14C}" sibTransId="{2ED515F1-B0E7-45D5-892C-DC349F0A0052}"/>
    <dgm:cxn modelId="{6F11DAE9-98BD-4423-BBBD-63637AB68516}" type="presOf" srcId="{F048DE09-26F3-40F9-8762-1D07CED45971}" destId="{636BFF59-FD59-4495-BD25-CD98992A1FD5}" srcOrd="1" destOrd="0" presId="urn:microsoft.com/office/officeart/2005/8/layout/radial1"/>
    <dgm:cxn modelId="{417CFA43-139A-454B-B4D6-159221B2AD95}" type="presOf" srcId="{7EB89FA1-DA70-445B-833A-AF12AB3E9CCA}" destId="{8852284C-E22A-4937-BD6A-88E92CD2C496}" srcOrd="0" destOrd="0" presId="urn:microsoft.com/office/officeart/2005/8/layout/radial1"/>
    <dgm:cxn modelId="{664ABE66-27C9-4EA3-A68C-5CA4D3D9AE4F}" type="presOf" srcId="{A476B4C0-A4B5-4E15-BF61-656096024585}" destId="{4902F99F-8E36-40D8-BAE8-6886D8696EF9}" srcOrd="0" destOrd="0" presId="urn:microsoft.com/office/officeart/2005/8/layout/radial1"/>
    <dgm:cxn modelId="{D1DD22E8-8F34-4DD1-9668-C96DF042C3FF}" srcId="{7EB89FA1-DA70-445B-833A-AF12AB3E9CCA}" destId="{3B6F23AD-3756-4AAD-8CD9-14573B1D1FDD}" srcOrd="0" destOrd="0" parTransId="{43CC3188-3FB1-4C97-ACE2-D07634E34E05}" sibTransId="{F08ADA0E-E57E-486B-814B-8039F4A9FD57}"/>
    <dgm:cxn modelId="{8AEBDFA2-12D6-43F7-9517-CE4298C45F0A}" type="presOf" srcId="{13232AFA-C7DD-433C-AFD3-778CD244FECF}" destId="{01C993F1-7AA4-447E-8B51-D8370EDDD8B8}" srcOrd="0" destOrd="0" presId="urn:microsoft.com/office/officeart/2005/8/layout/radial1"/>
    <dgm:cxn modelId="{26C42D6E-3E36-4474-88A9-62EF3751946F}" type="presOf" srcId="{A85D1E9B-245F-432F-B289-093A6A1AC057}" destId="{AFD16608-B6ED-48F6-82E1-10D2D2E38E52}" srcOrd="0" destOrd="0" presId="urn:microsoft.com/office/officeart/2005/8/layout/radial1"/>
    <dgm:cxn modelId="{11EA66CE-2ADA-45B9-8616-3F6A5EF65884}" type="presOf" srcId="{0B0500CB-EC16-4F18-B732-46CF52ADB14C}" destId="{7B762123-DE69-40AF-9740-1C09321C31E0}" srcOrd="1" destOrd="0" presId="urn:microsoft.com/office/officeart/2005/8/layout/radial1"/>
    <dgm:cxn modelId="{61AB56A7-B232-4A5A-9C18-9C3935F99188}" type="presOf" srcId="{B63CB2E5-DCB2-490A-9BC6-C95780DCFB7E}" destId="{2AAD0B46-EF42-4D73-8D75-637A4E95E9C6}" srcOrd="0" destOrd="0" presId="urn:microsoft.com/office/officeart/2005/8/layout/radial1"/>
    <dgm:cxn modelId="{C2F37EB0-94AB-4439-9531-D5EA1477A4C4}" type="presOf" srcId="{A476B4C0-A4B5-4E15-BF61-656096024585}" destId="{542E61D5-42ED-4F55-9FCC-C0BE85E2CC57}" srcOrd="1" destOrd="0" presId="urn:microsoft.com/office/officeart/2005/8/layout/radial1"/>
    <dgm:cxn modelId="{DD8766D9-EC61-4D20-B05B-24AD3E40C647}" type="presOf" srcId="{3B6F23AD-3756-4AAD-8CD9-14573B1D1FDD}" destId="{F7D49D23-862B-410B-A212-86DABDB62ECC}" srcOrd="0" destOrd="0" presId="urn:microsoft.com/office/officeart/2005/8/layout/radial1"/>
    <dgm:cxn modelId="{E1276952-2F1B-403A-991D-1EEC548C3A82}" type="presOf" srcId="{D03397F8-6C73-44DE-A653-0332A3DE4679}" destId="{37A8E6A1-CEC9-4B64-8220-04CFEE26F34B}" srcOrd="0" destOrd="0" presId="urn:microsoft.com/office/officeart/2005/8/layout/radial1"/>
    <dgm:cxn modelId="{7E4C7BD3-38CD-4B7C-BA0B-9FB561491EE2}" srcId="{3B6F23AD-3756-4AAD-8CD9-14573B1D1FDD}" destId="{C4FB5E13-91DA-49CE-92C2-EC015643F5A3}" srcOrd="0" destOrd="0" parTransId="{762966F9-0AEB-43CB-B24B-94E0F77C2FE1}" sibTransId="{6996770E-2DEC-4C85-87EE-179991CF157F}"/>
    <dgm:cxn modelId="{9EBC0A8A-9963-4EDA-84DA-F1DFDE4B6868}" type="presOf" srcId="{D03397F8-6C73-44DE-A653-0332A3DE4679}" destId="{34C04C53-6F24-4A85-8CFB-B6FC660B0FC7}" srcOrd="1" destOrd="0" presId="urn:microsoft.com/office/officeart/2005/8/layout/radial1"/>
    <dgm:cxn modelId="{BCA35648-239C-4E03-9EFB-A435B203D94C}" srcId="{3B6F23AD-3756-4AAD-8CD9-14573B1D1FDD}" destId="{B63CB2E5-DCB2-490A-9BC6-C95780DCFB7E}" srcOrd="1" destOrd="0" parTransId="{D03397F8-6C73-44DE-A653-0332A3DE4679}" sibTransId="{CA561BE4-F29D-4EB4-B573-87C1B8B742DC}"/>
    <dgm:cxn modelId="{138D810D-0FB2-4C34-A088-44FC780C25C9}" srcId="{3B6F23AD-3756-4AAD-8CD9-14573B1D1FDD}" destId="{A85D1E9B-245F-432F-B289-093A6A1AC057}" srcOrd="2" destOrd="0" parTransId="{A476B4C0-A4B5-4E15-BF61-656096024585}" sibTransId="{6F80BF7C-02EB-48FB-85CC-6952D5B5D684}"/>
    <dgm:cxn modelId="{74B13165-AC17-4BD5-A21D-64DD775AD846}" type="presOf" srcId="{C4FB5E13-91DA-49CE-92C2-EC015643F5A3}" destId="{3A1DD396-255E-4A4D-9706-739F23C3E3EF}" srcOrd="0" destOrd="0" presId="urn:microsoft.com/office/officeart/2005/8/layout/radial1"/>
    <dgm:cxn modelId="{4F667EEA-7659-432B-8810-4324268D47E2}" type="presParOf" srcId="{8852284C-E22A-4937-BD6A-88E92CD2C496}" destId="{F7D49D23-862B-410B-A212-86DABDB62ECC}" srcOrd="0" destOrd="0" presId="urn:microsoft.com/office/officeart/2005/8/layout/radial1"/>
    <dgm:cxn modelId="{5D477C2E-ABC9-4746-8DAE-2104EC6C15E4}" type="presParOf" srcId="{8852284C-E22A-4937-BD6A-88E92CD2C496}" destId="{115820CF-E67C-445E-A943-2ECB1D2E2E41}" srcOrd="1" destOrd="0" presId="urn:microsoft.com/office/officeart/2005/8/layout/radial1"/>
    <dgm:cxn modelId="{5D2C411F-D2DC-4A3B-AC42-09190A618A38}" type="presParOf" srcId="{115820CF-E67C-445E-A943-2ECB1D2E2E41}" destId="{E57FA9DD-7BD2-4E5F-842B-0889A472F7A7}" srcOrd="0" destOrd="0" presId="urn:microsoft.com/office/officeart/2005/8/layout/radial1"/>
    <dgm:cxn modelId="{96F211BF-E443-45B3-8F92-18431A4D24F7}" type="presParOf" srcId="{8852284C-E22A-4937-BD6A-88E92CD2C496}" destId="{3A1DD396-255E-4A4D-9706-739F23C3E3EF}" srcOrd="2" destOrd="0" presId="urn:microsoft.com/office/officeart/2005/8/layout/radial1"/>
    <dgm:cxn modelId="{FE180223-32DD-4216-A70C-81AA88659D8B}" type="presParOf" srcId="{8852284C-E22A-4937-BD6A-88E92CD2C496}" destId="{37A8E6A1-CEC9-4B64-8220-04CFEE26F34B}" srcOrd="3" destOrd="0" presId="urn:microsoft.com/office/officeart/2005/8/layout/radial1"/>
    <dgm:cxn modelId="{00FA595E-9715-4850-9E12-191A88D48011}" type="presParOf" srcId="{37A8E6A1-CEC9-4B64-8220-04CFEE26F34B}" destId="{34C04C53-6F24-4A85-8CFB-B6FC660B0FC7}" srcOrd="0" destOrd="0" presId="urn:microsoft.com/office/officeart/2005/8/layout/radial1"/>
    <dgm:cxn modelId="{843C8DE4-7429-43D6-9E3E-7B2284F43916}" type="presParOf" srcId="{8852284C-E22A-4937-BD6A-88E92CD2C496}" destId="{2AAD0B46-EF42-4D73-8D75-637A4E95E9C6}" srcOrd="4" destOrd="0" presId="urn:microsoft.com/office/officeart/2005/8/layout/radial1"/>
    <dgm:cxn modelId="{701B3DBC-6BE6-46A4-A4FC-1F532616726F}" type="presParOf" srcId="{8852284C-E22A-4937-BD6A-88E92CD2C496}" destId="{4902F99F-8E36-40D8-BAE8-6886D8696EF9}" srcOrd="5" destOrd="0" presId="urn:microsoft.com/office/officeart/2005/8/layout/radial1"/>
    <dgm:cxn modelId="{7EE5C834-8F7F-4DCE-9278-2A1F0EF2C624}" type="presParOf" srcId="{4902F99F-8E36-40D8-BAE8-6886D8696EF9}" destId="{542E61D5-42ED-4F55-9FCC-C0BE85E2CC57}" srcOrd="0" destOrd="0" presId="urn:microsoft.com/office/officeart/2005/8/layout/radial1"/>
    <dgm:cxn modelId="{D5E329EA-7861-462D-B94D-078DE5B7E86A}" type="presParOf" srcId="{8852284C-E22A-4937-BD6A-88E92CD2C496}" destId="{AFD16608-B6ED-48F6-82E1-10D2D2E38E52}" srcOrd="6" destOrd="0" presId="urn:microsoft.com/office/officeart/2005/8/layout/radial1"/>
    <dgm:cxn modelId="{070CD3E9-111C-4E00-B5E4-76AC76AFCCD3}" type="presParOf" srcId="{8852284C-E22A-4937-BD6A-88E92CD2C496}" destId="{9C7D10FF-CD76-486A-ABF9-CAA9CCDCCFD6}" srcOrd="7" destOrd="0" presId="urn:microsoft.com/office/officeart/2005/8/layout/radial1"/>
    <dgm:cxn modelId="{E876D45D-8B0A-4683-8F0B-7D6AB454CE44}" type="presParOf" srcId="{9C7D10FF-CD76-486A-ABF9-CAA9CCDCCFD6}" destId="{7B762123-DE69-40AF-9740-1C09321C31E0}" srcOrd="0" destOrd="0" presId="urn:microsoft.com/office/officeart/2005/8/layout/radial1"/>
    <dgm:cxn modelId="{FC357FDB-3E16-412A-B6B9-73827FF94324}" type="presParOf" srcId="{8852284C-E22A-4937-BD6A-88E92CD2C496}" destId="{EF3C522D-CA33-4155-9D03-7096FA01B8E9}" srcOrd="8" destOrd="0" presId="urn:microsoft.com/office/officeart/2005/8/layout/radial1"/>
    <dgm:cxn modelId="{D9CEF027-F9C1-4F73-906E-B60B73B9A025}" type="presParOf" srcId="{8852284C-E22A-4937-BD6A-88E92CD2C496}" destId="{323E5931-F5DF-4FE7-B0C7-9CB017146BB3}" srcOrd="9" destOrd="0" presId="urn:microsoft.com/office/officeart/2005/8/layout/radial1"/>
    <dgm:cxn modelId="{4CA17FDD-E7A7-468D-ACEF-ECFD19204D9B}" type="presParOf" srcId="{323E5931-F5DF-4FE7-B0C7-9CB017146BB3}" destId="{636BFF59-FD59-4495-BD25-CD98992A1FD5}" srcOrd="0" destOrd="0" presId="urn:microsoft.com/office/officeart/2005/8/layout/radial1"/>
    <dgm:cxn modelId="{CF856A72-D6EB-450B-BE51-7BFC1D9ED5F8}" type="presParOf" srcId="{8852284C-E22A-4937-BD6A-88E92CD2C496}" destId="{01C993F1-7AA4-447E-8B51-D8370EDDD8B8}" srcOrd="10" destOrd="0" presId="urn:microsoft.com/office/officeart/2005/8/layout/radial1"/>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7D49D23-862B-410B-A212-86DABDB62ECC}">
      <dsp:nvSpPr>
        <dsp:cNvPr id="0" name=""/>
        <dsp:cNvSpPr/>
      </dsp:nvSpPr>
      <dsp:spPr>
        <a:xfrm>
          <a:off x="1782797" y="722392"/>
          <a:ext cx="549204" cy="549204"/>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marR="0" lvl="0" algn="ctr" defTabSz="666750" rtl="0">
            <a:lnSpc>
              <a:spcPct val="90000"/>
            </a:lnSpc>
            <a:spcBef>
              <a:spcPct val="0"/>
            </a:spcBef>
            <a:spcAft>
              <a:spcPct val="35000"/>
            </a:spcAft>
          </a:pPr>
          <a:r>
            <a:rPr lang="kk-KZ" sz="1500" kern="1200" baseline="0" smtClean="0">
              <a:latin typeface="Calibri"/>
            </a:rPr>
            <a:t>Баға</a:t>
          </a:r>
          <a:endParaRPr lang="ru-RU" sz="1500" kern="1200" smtClean="0"/>
        </a:p>
      </dsp:txBody>
      <dsp:txXfrm>
        <a:off x="1863226" y="802821"/>
        <a:ext cx="388346" cy="388346"/>
      </dsp:txXfrm>
    </dsp:sp>
    <dsp:sp modelId="{115820CF-E67C-445E-A943-2ECB1D2E2E41}">
      <dsp:nvSpPr>
        <dsp:cNvPr id="0" name=""/>
        <dsp:cNvSpPr/>
      </dsp:nvSpPr>
      <dsp:spPr>
        <a:xfrm rot="16200000">
          <a:off x="1974338" y="627318"/>
          <a:ext cx="166123" cy="24024"/>
        </a:xfrm>
        <a:custGeom>
          <a:avLst/>
          <a:gdLst/>
          <a:ahLst/>
          <a:cxnLst/>
          <a:rect l="0" t="0" r="0" b="0"/>
          <a:pathLst>
            <a:path>
              <a:moveTo>
                <a:pt x="0" y="12012"/>
              </a:moveTo>
              <a:lnTo>
                <a:pt x="166123" y="1201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p>
      </dsp:txBody>
      <dsp:txXfrm>
        <a:off x="2053246" y="635178"/>
        <a:ext cx="8306" cy="8306"/>
      </dsp:txXfrm>
    </dsp:sp>
    <dsp:sp modelId="{3A1DD396-255E-4A4D-9706-739F23C3E3EF}">
      <dsp:nvSpPr>
        <dsp:cNvPr id="0" name=""/>
        <dsp:cNvSpPr/>
      </dsp:nvSpPr>
      <dsp:spPr>
        <a:xfrm>
          <a:off x="1782797" y="7065"/>
          <a:ext cx="549204" cy="549204"/>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R="0" lvl="0" algn="ctr" defTabSz="266700" rtl="0">
            <a:lnSpc>
              <a:spcPct val="90000"/>
            </a:lnSpc>
            <a:spcBef>
              <a:spcPct val="0"/>
            </a:spcBef>
            <a:spcAft>
              <a:spcPct val="35000"/>
            </a:spcAft>
          </a:pPr>
          <a:r>
            <a:rPr lang="kk-KZ" sz="600" kern="1200" baseline="0" smtClean="0">
              <a:latin typeface="Calibri"/>
            </a:rPr>
            <a:t>Тауар</a:t>
          </a:r>
          <a:endParaRPr lang="ru-RU" sz="600" kern="1200" smtClean="0"/>
        </a:p>
      </dsp:txBody>
      <dsp:txXfrm>
        <a:off x="1863226" y="87494"/>
        <a:ext cx="388346" cy="388346"/>
      </dsp:txXfrm>
    </dsp:sp>
    <dsp:sp modelId="{37A8E6A1-CEC9-4B64-8220-04CFEE26F34B}">
      <dsp:nvSpPr>
        <dsp:cNvPr id="0" name=""/>
        <dsp:cNvSpPr/>
      </dsp:nvSpPr>
      <dsp:spPr>
        <a:xfrm rot="20520000">
          <a:off x="2314496" y="874458"/>
          <a:ext cx="166123" cy="24024"/>
        </a:xfrm>
        <a:custGeom>
          <a:avLst/>
          <a:gdLst/>
          <a:ahLst/>
          <a:cxnLst/>
          <a:rect l="0" t="0" r="0" b="0"/>
          <a:pathLst>
            <a:path>
              <a:moveTo>
                <a:pt x="0" y="12012"/>
              </a:moveTo>
              <a:lnTo>
                <a:pt x="166123" y="1201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p>
      </dsp:txBody>
      <dsp:txXfrm>
        <a:off x="2393405" y="882317"/>
        <a:ext cx="8306" cy="8306"/>
      </dsp:txXfrm>
    </dsp:sp>
    <dsp:sp modelId="{2AAD0B46-EF42-4D73-8D75-637A4E95E9C6}">
      <dsp:nvSpPr>
        <dsp:cNvPr id="0" name=""/>
        <dsp:cNvSpPr/>
      </dsp:nvSpPr>
      <dsp:spPr>
        <a:xfrm>
          <a:off x="2463114" y="501344"/>
          <a:ext cx="549204" cy="549204"/>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R="0" lvl="0" algn="ctr" defTabSz="266700" rtl="0">
            <a:lnSpc>
              <a:spcPct val="90000"/>
            </a:lnSpc>
            <a:spcBef>
              <a:spcPct val="0"/>
            </a:spcBef>
            <a:spcAft>
              <a:spcPct val="35000"/>
            </a:spcAft>
          </a:pPr>
          <a:r>
            <a:rPr lang="kk-KZ" sz="600" kern="1200" baseline="0" smtClean="0">
              <a:latin typeface="Calibri"/>
            </a:rPr>
            <a:t>Мемлекет</a:t>
          </a:r>
          <a:endParaRPr lang="ru-RU" sz="600" kern="1200" smtClean="0"/>
        </a:p>
      </dsp:txBody>
      <dsp:txXfrm>
        <a:off x="2543543" y="581773"/>
        <a:ext cx="388346" cy="388346"/>
      </dsp:txXfrm>
    </dsp:sp>
    <dsp:sp modelId="{4902F99F-8E36-40D8-BAE8-6886D8696EF9}">
      <dsp:nvSpPr>
        <dsp:cNvPr id="0" name=""/>
        <dsp:cNvSpPr/>
      </dsp:nvSpPr>
      <dsp:spPr>
        <a:xfrm rot="3240000">
          <a:off x="2184567" y="1274339"/>
          <a:ext cx="166123" cy="24024"/>
        </a:xfrm>
        <a:custGeom>
          <a:avLst/>
          <a:gdLst/>
          <a:ahLst/>
          <a:cxnLst/>
          <a:rect l="0" t="0" r="0" b="0"/>
          <a:pathLst>
            <a:path>
              <a:moveTo>
                <a:pt x="0" y="12012"/>
              </a:moveTo>
              <a:lnTo>
                <a:pt x="166123" y="1201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p>
      </dsp:txBody>
      <dsp:txXfrm>
        <a:off x="2263476" y="1282198"/>
        <a:ext cx="8306" cy="8306"/>
      </dsp:txXfrm>
    </dsp:sp>
    <dsp:sp modelId="{AFD16608-B6ED-48F6-82E1-10D2D2E38E52}">
      <dsp:nvSpPr>
        <dsp:cNvPr id="0" name=""/>
        <dsp:cNvSpPr/>
      </dsp:nvSpPr>
      <dsp:spPr>
        <a:xfrm>
          <a:off x="2203256" y="1301105"/>
          <a:ext cx="549204" cy="549204"/>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R="0" lvl="0" algn="ctr" defTabSz="266700" rtl="0">
            <a:lnSpc>
              <a:spcPct val="90000"/>
            </a:lnSpc>
            <a:spcBef>
              <a:spcPct val="0"/>
            </a:spcBef>
            <a:spcAft>
              <a:spcPct val="35000"/>
            </a:spcAft>
          </a:pPr>
          <a:r>
            <a:rPr lang="kk-KZ" sz="600" kern="1200" baseline="0" smtClean="0">
              <a:latin typeface="Calibri"/>
            </a:rPr>
            <a:t>Сатып алушылар</a:t>
          </a:r>
          <a:endParaRPr lang="ru-RU" sz="600" kern="1200" smtClean="0"/>
        </a:p>
      </dsp:txBody>
      <dsp:txXfrm>
        <a:off x="2283685" y="1381534"/>
        <a:ext cx="388346" cy="388346"/>
      </dsp:txXfrm>
    </dsp:sp>
    <dsp:sp modelId="{9C7D10FF-CD76-486A-ABF9-CAA9CCDCCFD6}">
      <dsp:nvSpPr>
        <dsp:cNvPr id="0" name=""/>
        <dsp:cNvSpPr/>
      </dsp:nvSpPr>
      <dsp:spPr>
        <a:xfrm rot="7560000">
          <a:off x="1764108" y="1274339"/>
          <a:ext cx="166123" cy="24024"/>
        </a:xfrm>
        <a:custGeom>
          <a:avLst/>
          <a:gdLst/>
          <a:ahLst/>
          <a:cxnLst/>
          <a:rect l="0" t="0" r="0" b="0"/>
          <a:pathLst>
            <a:path>
              <a:moveTo>
                <a:pt x="0" y="12012"/>
              </a:moveTo>
              <a:lnTo>
                <a:pt x="166123" y="1201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p>
      </dsp:txBody>
      <dsp:txXfrm rot="10800000">
        <a:off x="1843017" y="1282198"/>
        <a:ext cx="8306" cy="8306"/>
      </dsp:txXfrm>
    </dsp:sp>
    <dsp:sp modelId="{EF3C522D-CA33-4155-9D03-7096FA01B8E9}">
      <dsp:nvSpPr>
        <dsp:cNvPr id="0" name=""/>
        <dsp:cNvSpPr/>
      </dsp:nvSpPr>
      <dsp:spPr>
        <a:xfrm>
          <a:off x="1362338" y="1301105"/>
          <a:ext cx="549204" cy="549204"/>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R="0" lvl="0" algn="ctr" defTabSz="266700" rtl="0">
            <a:lnSpc>
              <a:spcPct val="90000"/>
            </a:lnSpc>
            <a:spcBef>
              <a:spcPct val="0"/>
            </a:spcBef>
            <a:spcAft>
              <a:spcPct val="35000"/>
            </a:spcAft>
          </a:pPr>
          <a:endParaRPr lang="kk-KZ" sz="600" kern="1200" baseline="0" smtClean="0">
            <a:latin typeface="Times New Roman"/>
          </a:endParaRPr>
        </a:p>
        <a:p>
          <a:pPr marR="0" lvl="0" algn="ctr" defTabSz="266700" rtl="0">
            <a:lnSpc>
              <a:spcPct val="90000"/>
            </a:lnSpc>
            <a:spcBef>
              <a:spcPct val="0"/>
            </a:spcBef>
            <a:spcAft>
              <a:spcPct val="35000"/>
            </a:spcAft>
          </a:pPr>
          <a:r>
            <a:rPr lang="kk-KZ" sz="600" kern="1200" baseline="0" smtClean="0">
              <a:latin typeface="Calibri"/>
            </a:rPr>
            <a:t>Бәсеке-лестер</a:t>
          </a:r>
          <a:endParaRPr lang="ru-RU" sz="600" kern="1200" smtClean="0"/>
        </a:p>
      </dsp:txBody>
      <dsp:txXfrm>
        <a:off x="1442767" y="1381534"/>
        <a:ext cx="388346" cy="388346"/>
      </dsp:txXfrm>
    </dsp:sp>
    <dsp:sp modelId="{323E5931-F5DF-4FE7-B0C7-9CB017146BB3}">
      <dsp:nvSpPr>
        <dsp:cNvPr id="0" name=""/>
        <dsp:cNvSpPr/>
      </dsp:nvSpPr>
      <dsp:spPr>
        <a:xfrm rot="11880000">
          <a:off x="1634179" y="874458"/>
          <a:ext cx="166123" cy="24024"/>
        </a:xfrm>
        <a:custGeom>
          <a:avLst/>
          <a:gdLst/>
          <a:ahLst/>
          <a:cxnLst/>
          <a:rect l="0" t="0" r="0" b="0"/>
          <a:pathLst>
            <a:path>
              <a:moveTo>
                <a:pt x="0" y="12012"/>
              </a:moveTo>
              <a:lnTo>
                <a:pt x="166123" y="1201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p>
      </dsp:txBody>
      <dsp:txXfrm rot="10800000">
        <a:off x="1713088" y="882317"/>
        <a:ext cx="8306" cy="8306"/>
      </dsp:txXfrm>
    </dsp:sp>
    <dsp:sp modelId="{01C993F1-7AA4-447E-8B51-D8370EDDD8B8}">
      <dsp:nvSpPr>
        <dsp:cNvPr id="0" name=""/>
        <dsp:cNvSpPr/>
      </dsp:nvSpPr>
      <dsp:spPr>
        <a:xfrm>
          <a:off x="1102480" y="501344"/>
          <a:ext cx="549204" cy="549204"/>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R="0" lvl="0" algn="ctr" defTabSz="266700" rtl="0">
            <a:lnSpc>
              <a:spcPct val="90000"/>
            </a:lnSpc>
            <a:spcBef>
              <a:spcPct val="0"/>
            </a:spcBef>
            <a:spcAft>
              <a:spcPct val="35000"/>
            </a:spcAft>
          </a:pPr>
          <a:r>
            <a:rPr lang="kk-KZ" sz="600" kern="1200" baseline="0" smtClean="0">
              <a:latin typeface="Calibri"/>
            </a:rPr>
            <a:t>Фирма</a:t>
          </a:r>
          <a:endParaRPr lang="ru-RU" sz="600" kern="1200" smtClean="0"/>
        </a:p>
      </dsp:txBody>
      <dsp:txXfrm>
        <a:off x="1182909" y="581773"/>
        <a:ext cx="388346" cy="388346"/>
      </dsp:txXfrm>
    </dsp:sp>
  </dsp:spTree>
</dsp:drawing>
</file>

<file path=word/diagrams/layout1.xml><?xml version="1.0" encoding="utf-8"?>
<dgm:layoutDef xmlns:dgm="http://schemas.openxmlformats.org/drawingml/2006/diagram" xmlns:a="http://schemas.openxmlformats.org/drawingml/2006/main" uniqueId="urn:microsoft.com/office/officeart/2005/8/layout/radial1">
  <dgm:title val=""/>
  <dgm:desc val=""/>
  <dgm:catLst>
    <dgm:cat type="relationship" pri="22000"/>
    <dgm:cat type="cycle" pri="10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node" refType="w" refFor="ch" refForName="centerShape" op="equ"/>
      <dgm:constr type="sp" refType="w" refFor="ch" refForName="node" fact="0.3"/>
      <dgm:constr type="sibSp" refType="w" refFor="ch" refForName="node" fact="0.3"/>
      <dgm:constr type="primFontSz" for="ch" forName="centerShape" val="65"/>
      <dgm:constr type="primFontSz" for="des" forName="node" op="equ" val="65"/>
      <dgm:constr type="primFontSz" for="des" forName="connTx" val="55"/>
      <dgm:constr type="primFontSz" for="des" forName="connTx" refType="primFontSz" refFor="ch" refForName="centerShape" op="lte" fact="0.8"/>
    </dgm:constrLst>
    <dgm:ruleLst/>
    <dgm:forEach name="Name6"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name="Name7" axis="ch">
        <dgm:forEach name="Name8" axis="self" ptType="parTrans">
          <dgm:layoutNode name="Name9">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connDist"/>
              <dgm:constr type="userA" for="ch" refType="connDist"/>
              <dgm:constr type="w" val="1"/>
              <dgm:constr type="h" val="5"/>
              <dgm:constr type="begPad"/>
              <dgm:constr type="endPad"/>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w" val="NaN" fact="0.8" max="NaN"/>
                <dgm:rule type="h" val="NaN" fact="1" max="NaN"/>
                <dgm:rule type="primFontSz" val="5" fact="NaN" max="NaN"/>
              </dgm:ruleLst>
            </dgm:layoutNode>
          </dgm:layoutNode>
        </dgm:forEach>
        <dgm:forEach name="Name10"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1966</Words>
  <Characters>11212</Characters>
  <Application>Microsoft Office Word</Application>
  <DocSecurity>0</DocSecurity>
  <Lines>93</Lines>
  <Paragraphs>26</Paragraphs>
  <ScaleCrop>false</ScaleCrop>
  <Company>Home</Company>
  <LinksUpToDate>false</LinksUpToDate>
  <CharactersWithSpaces>13152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Асем Сагидолдина</cp:lastModifiedBy>
  <cp:revision>4</cp:revision>
  <dcterms:created xsi:type="dcterms:W3CDTF">2014-04-04T15:50:00Z</dcterms:created>
  <dcterms:modified xsi:type="dcterms:W3CDTF">2023-09-25T06:29:00Z</dcterms:modified>
</cp:coreProperties>
</file>